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2" w:after="0"/>
        <w:ind w:left="100" w:hanging="0"/>
        <w:rPr>
          <w:rFonts w:ascii="Metric Regular" w:hAnsi="Metric Regular"/>
          <w:b/>
          <w:b/>
          <w:sz w:val="28"/>
        </w:rPr>
      </w:pPr>
      <w:r>
        <w:rPr>
          <w:rFonts w:ascii="Metric Regular" w:hAnsi="Metric Regular"/>
          <w:b/>
          <w:sz w:val="28"/>
        </w:rPr>
      </w:r>
    </w:p>
    <w:p>
      <w:pPr>
        <w:pStyle w:val="Normal"/>
        <w:spacing w:before="82" w:after="0"/>
        <w:ind w:left="100" w:hanging="0"/>
        <w:rPr>
          <w:rFonts w:ascii="Metric Regular" w:hAnsi="Metric Regular"/>
          <w:b/>
          <w:b/>
          <w:sz w:val="28"/>
        </w:rPr>
      </w:pPr>
      <w:r>
        <w:rPr>
          <w:rFonts w:ascii="Metric Regular" w:hAnsi="Metric Regular"/>
          <w:b/>
          <w:sz w:val="28"/>
        </w:rPr>
        <w:t>Candidatura a associado da P</w:t>
      </w:r>
      <w:bookmarkStart w:id="0" w:name="_GoBack"/>
      <w:bookmarkEnd w:id="0"/>
      <w:r>
        <w:rPr>
          <w:rFonts w:ascii="Metric Regular" w:hAnsi="Metric Regular"/>
          <w:b/>
          <w:sz w:val="28"/>
        </w:rPr>
        <w:t>arceria RBM pelo Fim da Malária</w:t>
      </w:r>
    </w:p>
    <w:p>
      <w:pPr>
        <w:pStyle w:val="Heading1"/>
        <w:spacing w:before="185" w:after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Sobre a Parceria RBM pelo Fim da Malária</w:t>
      </w:r>
    </w:p>
    <w:p>
      <w:pPr>
        <w:pStyle w:val="TextBody"/>
        <w:spacing w:before="9" w:after="0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ind w:left="100" w:right="275" w:hanging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A RBM Parceria pelo Fim da Malária é a maior plataforma global para uma acção coordenada no sentido de um mundo sem malária. É composta por mais de 500 parceiros, desde grupos de técnicos de saúde comunitários e investigadores a desenvolver novas ferramentas até países afectados pela malária e países doadores, empresas e organizações internacionais.</w:t>
      </w:r>
    </w:p>
    <w:p>
      <w:pPr>
        <w:pStyle w:val="TextBody"/>
        <w:spacing w:before="1" w:after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</w:r>
    </w:p>
    <w:p>
      <w:pPr>
        <w:pStyle w:val="TextBody"/>
        <w:ind w:left="100" w:hanging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A visão da Parceria RBM é a de um mundo livre do peso da malária. A nossa missão é</w:t>
      </w:r>
    </w:p>
    <w:p>
      <w:pPr>
        <w:pStyle w:val="TextBody"/>
        <w:ind w:left="100" w:right="385" w:hanging="0"/>
        <w:rPr/>
      </w:pPr>
      <w:r>
        <w:rPr>
          <w:rFonts w:ascii="Metric Regular" w:hAnsi="Metric Regular"/>
          <w:sz w:val="22"/>
          <w:szCs w:val="22"/>
        </w:rPr>
        <w:t xml:space="preserve">apoiar os </w:t>
      </w:r>
      <w:hyperlink r:id="rId2">
        <w:r>
          <w:rPr>
            <w:rStyle w:val="ListLabel14"/>
            <w:rFonts w:ascii="Metric Regular" w:hAnsi="Metric Regular"/>
            <w:sz w:val="22"/>
            <w:szCs w:val="22"/>
            <w:u w:val="single"/>
          </w:rPr>
          <w:t>países afectados pela malária</w:t>
        </w:r>
        <w:r>
          <w:rPr>
            <w:rStyle w:val="ListLabel14"/>
            <w:rFonts w:ascii="Metric Regular" w:hAnsi="Metric Regular"/>
            <w:sz w:val="22"/>
            <w:szCs w:val="22"/>
          </w:rPr>
          <w:t xml:space="preserve"> </w:t>
        </w:r>
      </w:hyperlink>
      <w:r>
        <w:rPr>
          <w:rFonts w:ascii="Metric Regular" w:hAnsi="Metric Regular"/>
          <w:sz w:val="22"/>
          <w:szCs w:val="22"/>
        </w:rPr>
        <w:t xml:space="preserve">e galvanizar a acção a nível mundial, em todos os sectores, para acabar de vez com a malária. </w:t>
      </w:r>
    </w:p>
    <w:p>
      <w:pPr>
        <w:pStyle w:val="TextBody"/>
        <w:spacing w:lineRule="auto" w:line="259" w:before="150" w:after="0"/>
        <w:ind w:left="100" w:right="801" w:hanging="0"/>
        <w:jc w:val="both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 xml:space="preserve">Em sintonia com a respectiva missão, a Parceria RBM está empenhada em desenvolver capacidades para que os jornalistas produzam artigos jornalísticos de alta qualidade e bem fundamentados acerca da malária e do respectivo impacto nas famílias e as comunidades, e nas sociedade, abrangendo a perspectiva da saúde, da educação e da economia. </w:t>
      </w:r>
    </w:p>
    <w:p>
      <w:pPr>
        <w:pStyle w:val="Heading1"/>
        <w:spacing w:before="159" w:after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Sobre a associação da comunicação social à Parceria RBM pelo Fim da Malária</w:t>
      </w:r>
    </w:p>
    <w:p>
      <w:pPr>
        <w:pStyle w:val="TextBody"/>
        <w:spacing w:lineRule="auto" w:line="259" w:before="179" w:after="0"/>
        <w:ind w:left="100" w:right="330" w:hanging="0"/>
        <w:jc w:val="both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Pela primeira vez, a Parceria RBM convida jornalistas da imprensa/comunicação online e difusão, sediados nos 11 países com maior incidência de malária, a candidatarem-se a Associados da Parceria RBM pelo Fim da Malária.</w:t>
      </w:r>
    </w:p>
    <w:p>
      <w:pPr>
        <w:pStyle w:val="TextBody"/>
        <w:spacing w:lineRule="auto" w:line="259" w:before="160" w:after="0"/>
        <w:ind w:left="100" w:right="140" w:hanging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A associação destina-se a apoiar o aprofundamento e o alargamento da cobertura noticiosa pela imprensa, rádio e televisão, e/ou multimédia que capte a acção dos cidadãos e/ou dos decisores políticos dos 11 países com maior incidência, relativamente aos problemas relacionados com a malária e o respectivo impacto. Os tópicos poderão incluir as melhores práticas de protecção dos cidadãos contra a malária, políticas necessárias para tornar prioritário o financiamento à cobertura universal das intervenções que visam salvar vidas da malária, e parcerias e inovações que acelerem o fim da malária.</w:t>
      </w:r>
    </w:p>
    <w:p>
      <w:pPr>
        <w:pStyle w:val="TextBody"/>
        <w:spacing w:lineRule="auto" w:line="259" w:before="159" w:after="0"/>
        <w:ind w:left="100" w:right="140" w:hanging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A admissão oferece uma oportunidade de os jornalistas obterem conhecimentos junto de reconhecidos peritos mundiais em saúde e malária sobre as principais dificuldades e oportunidades para eliminar a malária durante a nossa geração, bem como investigarem os problemas relacionados com a malária nos respectivos países.</w:t>
      </w:r>
    </w:p>
    <w:p>
      <w:pPr>
        <w:pStyle w:val="Heading1"/>
        <w:spacing w:before="160" w:after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Descrição da associação da comunicação social</w:t>
      </w:r>
    </w:p>
    <w:p>
      <w:pPr>
        <w:pStyle w:val="TextBody"/>
        <w:spacing w:lineRule="auto" w:line="254" w:before="179" w:after="0"/>
        <w:ind w:left="100" w:right="741" w:hanging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Durante um período de um ano, a Parceria RBM irá apoiar os associados seleccionados com projectos e artigos relativos à malária. A associação da comunicação social compreenderá:</w:t>
      </w:r>
    </w:p>
    <w:p>
      <w:pPr>
        <w:pStyle w:val="ListParagraph"/>
        <w:numPr>
          <w:ilvl w:val="0"/>
          <w:numId w:val="2"/>
        </w:numPr>
        <w:tabs>
          <w:tab w:val="left" w:pos="820" w:leader="none"/>
          <w:tab w:val="left" w:pos="821" w:leader="none"/>
        </w:tabs>
        <w:spacing w:lineRule="auto" w:line="254" w:before="163" w:after="0"/>
        <w:ind w:left="460" w:right="257" w:hanging="360"/>
        <w:rPr>
          <w:rFonts w:ascii="Metric Regular" w:hAnsi="Metric Regular"/>
        </w:rPr>
      </w:pPr>
      <w:r>
        <w:rPr>
          <w:rFonts w:ascii="Metric Regular" w:hAnsi="Metric Regular"/>
        </w:rPr>
        <w:t>Um workshop obrigatório a realizar-se em Genebra, na Suíça, em Maio de 2019, apresentado por destacados peritos mundiais em malária, no qual os associados seleccionados irão obter conhecimentos relativamente às dificuldades, oportunidades e iniciativas que visam acabar com a malária;</w:t>
      </w:r>
    </w:p>
    <w:p>
      <w:pPr>
        <w:pStyle w:val="ListParagraph"/>
        <w:numPr>
          <w:ilvl w:val="0"/>
          <w:numId w:val="2"/>
        </w:numPr>
        <w:tabs>
          <w:tab w:val="left" w:pos="820" w:leader="none"/>
          <w:tab w:val="left" w:pos="821" w:leader="none"/>
        </w:tabs>
        <w:spacing w:lineRule="auto" w:line="252"/>
        <w:ind w:left="460" w:right="624" w:hanging="360"/>
        <w:rPr>
          <w:rFonts w:ascii="Metric Regular" w:hAnsi="Metric Regular"/>
        </w:rPr>
      </w:pPr>
      <w:r>
        <w:rPr>
          <w:rFonts w:ascii="Metric Regular" w:hAnsi="Metric Regular"/>
        </w:rPr>
        <w:t>Apresentações e encontros organizados entre associados e organizações mundiais, regionais e nacionais que trabalham para acabar com a malária;</w:t>
      </w:r>
    </w:p>
    <w:p>
      <w:pPr>
        <w:pStyle w:val="ListParagraph"/>
        <w:numPr>
          <w:ilvl w:val="0"/>
          <w:numId w:val="2"/>
        </w:numPr>
        <w:tabs>
          <w:tab w:val="left" w:pos="820" w:leader="none"/>
          <w:tab w:val="left" w:pos="821" w:leader="none"/>
        </w:tabs>
        <w:spacing w:lineRule="auto" w:line="252" w:before="7" w:after="0"/>
        <w:ind w:left="460" w:right="246" w:hanging="360"/>
        <w:rPr>
          <w:rFonts w:ascii="Metric Regular" w:hAnsi="Metric Regular"/>
        </w:rPr>
      </w:pPr>
      <w:r>
        <w:rPr>
          <w:rFonts w:ascii="Metric Regular" w:hAnsi="Metric Regular"/>
        </w:rPr>
        <w:t>Apoio financeiro limitado a projectos nacionais ou regionais aprovados, propostos pelos participantes individuais;</w:t>
      </w:r>
    </w:p>
    <w:p>
      <w:pPr>
        <w:pStyle w:val="ListParagraph"/>
        <w:numPr>
          <w:ilvl w:val="0"/>
          <w:numId w:val="2"/>
        </w:numPr>
        <w:tabs>
          <w:tab w:val="left" w:pos="820" w:leader="none"/>
          <w:tab w:val="left" w:pos="821" w:leader="none"/>
        </w:tabs>
        <w:rPr>
          <w:rFonts w:ascii="Metric Regular" w:hAnsi="Metric Regular"/>
        </w:rPr>
      </w:pPr>
      <w:r>
        <w:rPr>
          <w:rFonts w:ascii="Metric Regular" w:hAnsi="Metric Regular"/>
        </w:rPr>
        <w:t>Apoio contínuo à coordenação de projectos relevantes e informação sobre novos desenvolvimentos.</w:t>
      </w:r>
    </w:p>
    <w:p>
      <w:pPr>
        <w:pStyle w:val="TextBody"/>
        <w:spacing w:lineRule="auto" w:line="254" w:before="172" w:after="0"/>
        <w:ind w:left="100" w:right="329" w:hanging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As despesas de deslocação da viagem a Genebra serão pagas, bem como uma ajuda de custo diária. Será ainda facultado apoio financeiro limitado para deslocações e investigação relacionadas com os projectos.</w:t>
      </w:r>
    </w:p>
    <w:p>
      <w:pPr>
        <w:pStyle w:val="Heading1"/>
        <w:spacing w:before="166" w:after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Quem se pode candidatar e prazo da candidatura</w:t>
      </w:r>
    </w:p>
    <w:p>
      <w:pPr>
        <w:pStyle w:val="TextBody"/>
        <w:spacing w:lineRule="auto" w:line="254" w:before="178" w:after="0"/>
        <w:ind w:left="100" w:right="696" w:hanging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Se é um jornalista de um dos 11 países afectados por uma incidência elevada da malária (consultar a lista abaixo) com especial interesse na melhoria da saúde e empenhado em saber mais acerca da malária e de como pode contribuir no seu país e/ou região, então entre em contacto connosco.</w:t>
      </w:r>
    </w:p>
    <w:p>
      <w:pPr>
        <w:sectPr>
          <w:headerReference w:type="default" r:id="rId3"/>
          <w:type w:val="nextPage"/>
          <w:pgSz w:w="11906" w:h="16838"/>
          <w:pgMar w:left="1340" w:right="1360" w:header="196" w:top="1340" w:footer="0" w:bottom="280" w:gutter="0"/>
          <w:pgNumType w:fmt="decimal"/>
          <w:formProt w:val="false"/>
          <w:textDirection w:val="lrTb"/>
        </w:sectPr>
      </w:pPr>
    </w:p>
    <w:p>
      <w:pPr>
        <w:pStyle w:val="Heading1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Termos e condições</w:t>
      </w:r>
    </w:p>
    <w:p>
      <w:pPr>
        <w:pStyle w:val="ListParagraph"/>
        <w:numPr>
          <w:ilvl w:val="0"/>
          <w:numId w:val="1"/>
        </w:numPr>
        <w:tabs>
          <w:tab w:val="left" w:pos="820" w:leader="none"/>
          <w:tab w:val="left" w:pos="821" w:leader="none"/>
        </w:tabs>
        <w:spacing w:lineRule="auto" w:line="252" w:before="180" w:after="0"/>
        <w:ind w:left="820" w:right="301" w:hanging="360"/>
        <w:rPr>
          <w:rFonts w:ascii="Metric Regular" w:hAnsi="Metric Regular"/>
        </w:rPr>
      </w:pPr>
      <w:r>
        <w:rPr>
          <w:rFonts w:ascii="Metric Regular" w:hAnsi="Metric Regular"/>
        </w:rPr>
        <w:t>Os participantes seleccionados deverão comparecer obrigatoriamente no workshop em Genebra – datas exactas a confirmar.</w:t>
      </w:r>
    </w:p>
    <w:p>
      <w:pPr>
        <w:pStyle w:val="ListParagraph"/>
        <w:numPr>
          <w:ilvl w:val="0"/>
          <w:numId w:val="1"/>
        </w:numPr>
        <w:tabs>
          <w:tab w:val="left" w:pos="820" w:leader="none"/>
          <w:tab w:val="left" w:pos="821" w:leader="none"/>
        </w:tabs>
        <w:spacing w:lineRule="auto" w:line="252" w:before="7" w:after="0"/>
        <w:ind w:left="820" w:right="333" w:hanging="360"/>
        <w:rPr>
          <w:rFonts w:ascii="Metric Regular" w:hAnsi="Metric Regular"/>
        </w:rPr>
      </w:pPr>
      <w:r>
        <w:rPr>
          <w:rFonts w:ascii="Metric Regular" w:hAnsi="Metric Regular"/>
        </w:rPr>
        <w:t>As ajudas de custo diárias, o alojamento e a viagem desde o aeroporto mais próximo do jornalista serão incluídos para o efeito do workshop obrigatório em Genebra.</w:t>
      </w:r>
    </w:p>
    <w:p>
      <w:pPr>
        <w:pStyle w:val="ListParagraph"/>
        <w:numPr>
          <w:ilvl w:val="0"/>
          <w:numId w:val="1"/>
        </w:numPr>
        <w:tabs>
          <w:tab w:val="left" w:pos="820" w:leader="none"/>
          <w:tab w:val="left" w:pos="821" w:leader="none"/>
        </w:tabs>
        <w:spacing w:lineRule="auto" w:line="254" w:before="6" w:after="0"/>
        <w:ind w:left="820" w:right="227" w:hanging="360"/>
        <w:rPr>
          <w:rFonts w:ascii="Metric Regular" w:hAnsi="Metric Regular"/>
        </w:rPr>
      </w:pPr>
      <w:r>
        <w:rPr>
          <w:rFonts w:ascii="Metric Regular" w:hAnsi="Metric Regular"/>
        </w:rPr>
        <w:t>Será exigido o compromisso de quatro artigos publicados/difundidos no espaço de um ano como associado (entre Abril de 2019 e Dezembro de 2019). Será solicitado que os empregadores/editores expressem o seu acordo em apoiar este compromisso.</w:t>
      </w:r>
    </w:p>
    <w:p>
      <w:pPr>
        <w:pStyle w:val="ListParagraph"/>
        <w:numPr>
          <w:ilvl w:val="0"/>
          <w:numId w:val="1"/>
        </w:numPr>
        <w:tabs>
          <w:tab w:val="left" w:pos="820" w:leader="none"/>
          <w:tab w:val="left" w:pos="821" w:leader="none"/>
        </w:tabs>
        <w:spacing w:before="4" w:after="0"/>
        <w:rPr>
          <w:rFonts w:ascii="Metric Regular" w:hAnsi="Metric Regular"/>
        </w:rPr>
      </w:pPr>
      <w:r>
        <w:rPr>
          <w:rFonts w:ascii="Metric Regular" w:hAnsi="Metric Regular"/>
        </w:rPr>
        <w:t>Serão seleccionados um mínimo de 5 e um máximo de 11 jornalistas para a associação.</w:t>
      </w:r>
    </w:p>
    <w:p>
      <w:pPr>
        <w:pStyle w:val="ListParagraph"/>
        <w:numPr>
          <w:ilvl w:val="0"/>
          <w:numId w:val="1"/>
        </w:numPr>
        <w:tabs>
          <w:tab w:val="left" w:pos="820" w:leader="none"/>
          <w:tab w:val="left" w:pos="821" w:leader="none"/>
        </w:tabs>
        <w:spacing w:lineRule="auto" w:line="254" w:before="16" w:after="0"/>
        <w:ind w:left="820" w:right="224" w:hanging="360"/>
        <w:rPr>
          <w:rFonts w:ascii="Metric Regular" w:hAnsi="Metric Regular"/>
        </w:rPr>
      </w:pPr>
      <w:r>
        <w:rPr>
          <w:rFonts w:ascii="Metric Regular" w:hAnsi="Metric Regular"/>
        </w:rPr>
        <w:t>Apenas serão considerados para associados os jornalistas que residam e trabalhem nos seguintes países: Burquina Faso, Camarões, República Democrática do Congo, Gana, Índia, Mali, Moçambique, Níger, Nigéria, Uganda e República Unida da Tanzânia.</w:t>
      </w:r>
    </w:p>
    <w:p>
      <w:pPr>
        <w:pStyle w:val="Heading1"/>
        <w:spacing w:before="162" w:after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Acerca da malária</w:t>
      </w:r>
    </w:p>
    <w:p>
      <w:pPr>
        <w:pStyle w:val="TextBody"/>
        <w:spacing w:lineRule="auto" w:line="259" w:before="178" w:after="0"/>
        <w:ind w:left="100" w:right="143" w:hanging="0"/>
        <w:jc w:val="both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Graças à parceria mundial, realizou-se um enorme progresso na eliminação da malária – sendo uma das doenças mais antigas e mortais do mundo, é, contudo, evitável. Entre 2000 e 2016, salvaram-se mais de sete milhões de vidas e mais de mil milhões de casos de malária foram evitados.</w:t>
      </w:r>
    </w:p>
    <w:p>
      <w:pPr>
        <w:sectPr>
          <w:headerReference w:type="default" r:id="rId4"/>
          <w:type w:val="nextPage"/>
          <w:pgSz w:w="11906" w:h="16838"/>
          <w:pgMar w:left="1340" w:right="1360" w:header="196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59" w:before="160" w:after="0"/>
        <w:ind w:left="100" w:right="106" w:hanging="0"/>
        <w:rPr>
          <w:rFonts w:ascii="Metric Regular" w:hAnsi="Metric Regular"/>
          <w:sz w:val="22"/>
          <w:szCs w:val="22"/>
        </w:rPr>
      </w:pPr>
      <w:r>
        <w:rPr>
          <w:rFonts w:ascii="Metric Regular" w:hAnsi="Metric Regular"/>
          <w:sz w:val="22"/>
          <w:szCs w:val="22"/>
        </w:rPr>
        <w:t>Todavia, as dificuldades permanecem. Ainda morre uma criança a cada 2 minutos e 11 países sofrem 73% da incidência mundial da malária. Pela primeira vez em mais de uma década, as taxas de ocorrência da malária estão a subir nos países com maior incidência, enquanto um número crescente de países sofre menos de dez mil casos, confirmando que o progresso não é equilibrado. Apesar das muitas promessas dos países afectados e não afectados pela malária para alcançarem os Objectivos de Desenvolvimento Sustentáveis e o objectivo global de eliminação da malária em 90% até 2030, o financiamento deste objectivo estagnou, colocando em risco os progressos alcançados a muito custo até à data.</w:t>
      </w:r>
    </w:p>
    <w:p>
      <w:pPr>
        <w:pStyle w:val="Normal"/>
        <w:spacing w:before="82" w:after="0"/>
        <w:ind w:left="100" w:hanging="0"/>
        <w:rPr>
          <w:rFonts w:ascii="Metric Regular" w:hAnsi="Metric Regular"/>
          <w:b/>
          <w:b/>
        </w:rPr>
      </w:pPr>
      <w:r>
        <w:rPr>
          <w:rFonts w:ascii="Metric Regular" w:hAnsi="Metric Regular"/>
          <w:b/>
          <w:u w:val="thick"/>
        </w:rPr>
        <w:t>Formulário de candidatura</w:t>
      </w:r>
    </w:p>
    <w:p>
      <w:pPr>
        <w:pStyle w:val="Normal"/>
        <w:tabs>
          <w:tab w:val="left" w:pos="5926" w:leader="none"/>
        </w:tabs>
        <w:spacing w:before="179" w:after="0"/>
        <w:ind w:left="100" w:hanging="0"/>
        <w:rPr>
          <w:rFonts w:ascii="Metric Regular" w:hAnsi="Metric Regular"/>
          <w:b/>
          <w:b/>
        </w:rPr>
      </w:pPr>
      <w:r>
        <w:rPr>
          <w:rFonts w:ascii="Metric Regular" w:hAnsi="Metric Regular"/>
          <w:b/>
        </w:rPr>
        <w:t xml:space="preserve">Nome: </w:t>
      </w:r>
      <w:r>
        <w:rPr>
          <w:rFonts w:ascii="Metric Regular" w:hAnsi="Metric Regular"/>
          <w:b/>
          <w:u w:val="single"/>
        </w:rPr>
        <w:tab/>
      </w:r>
    </w:p>
    <w:p>
      <w:pPr>
        <w:pStyle w:val="Normal"/>
        <w:tabs>
          <w:tab w:val="left" w:pos="6895" w:leader="none"/>
          <w:tab w:val="left" w:pos="8306" w:leader="none"/>
        </w:tabs>
        <w:spacing w:lineRule="auto" w:line="422" w:before="178" w:after="0"/>
        <w:ind w:left="100" w:right="897" w:hanging="0"/>
        <w:rPr>
          <w:rFonts w:ascii="Metric Regular" w:hAnsi="Metric Regular"/>
        </w:rPr>
      </w:pPr>
      <w:r>
        <w:rPr>
          <w:rFonts w:ascii="Metric Regular" w:hAnsi="Metric Regular"/>
          <w:b/>
        </w:rPr>
        <w:t xml:space="preserve">Local (país e cidade): </w:t>
      </w:r>
      <w:r>
        <w:rPr>
          <w:rFonts w:ascii="Metric Regular" w:hAnsi="Metric Regular"/>
          <w:b/>
          <w:u w:val="single"/>
        </w:rPr>
        <w:tab/>
        <w:tab/>
      </w:r>
      <w:r>
        <w:rPr>
          <w:rFonts w:ascii="Metric Regular" w:hAnsi="Metric Regular"/>
          <w:b/>
        </w:rPr>
        <w:t xml:space="preserve"> Meio de comunicação actual: </w:t>
      </w:r>
      <w:r>
        <w:rPr>
          <w:rFonts w:ascii="Metric Regular" w:hAnsi="Metric Regular"/>
          <w:u w:val="single"/>
        </w:rPr>
        <w:t xml:space="preserve"> </w:t>
        <w:tab/>
      </w:r>
    </w:p>
    <w:p>
      <w:pPr>
        <w:pStyle w:val="Normal"/>
        <w:spacing w:before="2" w:after="0"/>
        <w:ind w:left="100" w:hanging="0"/>
        <w:rPr>
          <w:rFonts w:ascii="Metric Regular" w:hAnsi="Metric Regular"/>
          <w:b/>
          <w:b/>
        </w:rPr>
      </w:pPr>
      <w:r>
        <w:rPr>
          <w:rFonts w:ascii="Metric Regular" w:hAnsi="Metric Regular"/>
          <w:b/>
        </w:rPr>
        <w:t>Tipo de comunicação: imprensa/online/difusão/freelance</w:t>
      </w:r>
    </w:p>
    <w:p>
      <w:pPr>
        <w:pStyle w:val="Normal"/>
        <w:tabs>
          <w:tab w:val="left" w:pos="6350" w:leader="none"/>
        </w:tabs>
        <w:spacing w:lineRule="auto" w:line="259" w:before="178" w:after="0"/>
        <w:ind w:left="100" w:right="670" w:hanging="0"/>
        <w:rPr>
          <w:rFonts w:ascii="Metric Regular" w:hAnsi="Metric Regular"/>
          <w:b/>
          <w:b/>
        </w:rPr>
      </w:pPr>
      <w:r>
        <w:rPr>
          <w:rFonts w:ascii="Metric Regular" w:hAnsi="Metric Regular"/>
          <w:b/>
        </w:rPr>
        <w:t xml:space="preserve">Há quanto tempo está empregado no meio de comunicação actual e dados dos empregadores na comunicação social anteriores: </w:t>
      </w:r>
      <w:r>
        <w:rPr>
          <w:rFonts w:ascii="Metric Regular" w:hAnsi="Metric Regular"/>
          <w:b/>
          <w:u w:val="single"/>
        </w:rPr>
        <w:tab/>
      </w:r>
    </w:p>
    <w:p>
      <w:pPr>
        <w:pStyle w:val="Normal"/>
        <w:tabs>
          <w:tab w:val="left" w:pos="6060" w:leader="none"/>
        </w:tabs>
        <w:spacing w:lineRule="auto" w:line="422" w:before="156" w:after="0"/>
        <w:ind w:left="100" w:right="3132" w:hanging="0"/>
        <w:jc w:val="both"/>
        <w:rPr>
          <w:rFonts w:ascii="Metric Regular" w:hAnsi="Metric Regular"/>
          <w:b/>
          <w:b/>
        </w:rPr>
      </w:pPr>
      <w:r>
        <w:rPr>
          <w:rFonts w:ascii="Metric Regular" w:hAnsi="Metric Regular"/>
          <w:b/>
        </w:rPr>
        <w:t xml:space="preserve">Endereço de e-mail: </w:t>
      </w:r>
      <w:r>
        <w:rPr>
          <w:rFonts w:ascii="Metric Regular" w:hAnsi="Metric Regular"/>
          <w:u w:val="single"/>
        </w:rPr>
        <w:t xml:space="preserve"> </w:t>
        <w:tab/>
      </w:r>
      <w:r>
        <w:rPr>
          <w:rFonts w:ascii="Metric Regular" w:hAnsi="Metric Regular"/>
        </w:rPr>
        <w:t xml:space="preserve"> </w:t>
      </w:r>
      <w:r>
        <w:rPr>
          <w:rFonts w:ascii="Metric Regular" w:hAnsi="Metric Regular"/>
          <w:b/>
        </w:rPr>
        <w:t xml:space="preserve">Número de telefone: </w:t>
      </w:r>
      <w:r>
        <w:rPr>
          <w:rFonts w:ascii="Metric Regular" w:hAnsi="Metric Regular"/>
          <w:b/>
          <w:u w:val="single"/>
        </w:rPr>
        <w:tab/>
      </w:r>
      <w:r>
        <w:rPr>
          <w:rFonts w:ascii="Metric Regular" w:hAnsi="Metric Regular"/>
          <w:b/>
        </w:rPr>
        <w:t xml:space="preserve"> Idioma preferencial: inglês/francês/português</w:t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Normal"/>
        <w:spacing w:before="158" w:after="0"/>
        <w:ind w:left="100" w:hanging="0"/>
        <w:rPr>
          <w:rFonts w:ascii="Metric Regular" w:hAnsi="Metric Regular"/>
          <w:b/>
          <w:b/>
        </w:rPr>
      </w:pPr>
      <w:r>
        <w:rPr>
          <w:rFonts w:ascii="Metric Regular" w:hAnsi="Metric Regular"/>
          <w:b/>
        </w:rPr>
        <w:t>De que forma foi afectado pela malária? (máx. 300 palavras)</w:t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Normal"/>
        <w:spacing w:before="140" w:after="0"/>
        <w:ind w:left="100" w:hanging="0"/>
        <w:rPr>
          <w:rFonts w:ascii="Metric Regular" w:hAnsi="Metric Regular"/>
          <w:b/>
          <w:b/>
        </w:rPr>
      </w:pPr>
      <w:r>
        <w:rPr>
          <w:rFonts w:ascii="Metric Regular" w:hAnsi="Metric Regular"/>
          <w:b/>
        </w:rPr>
        <w:t>De que forma espera contribuir de modo a acelerar os esforços para acabar com a malária? (máx. 500 palavras)</w:t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Normal"/>
        <w:spacing w:lineRule="auto" w:line="259" w:before="137" w:after="0"/>
        <w:ind w:left="100" w:hanging="0"/>
        <w:rPr>
          <w:rFonts w:ascii="Metric Regular" w:hAnsi="Metric Regular"/>
          <w:b/>
          <w:b/>
        </w:rPr>
      </w:pPr>
      <w:r>
        <w:rPr>
          <w:rFonts w:ascii="Metric Regular" w:hAnsi="Metric Regular"/>
          <w:b/>
        </w:rPr>
        <w:t>Descreva qual a experiência anterior de escrita sobre a malária e o respectivo impacto sobre a sociedade e/ou de trabalho com organizações de combate à malária na sua região? (máx. 500 palavras)</w:t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spacing w:before="5" w:after="0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Normal"/>
        <w:spacing w:lineRule="auto" w:line="254"/>
        <w:ind w:left="100" w:right="154" w:hanging="0"/>
        <w:rPr>
          <w:rFonts w:ascii="Metric Regular" w:hAnsi="Metric Regular"/>
          <w:b/>
          <w:b/>
        </w:rPr>
      </w:pPr>
      <w:r>
        <w:rPr>
          <w:rFonts w:ascii="Metric Regular" w:hAnsi="Metric Regular"/>
          <w:b/>
        </w:rPr>
        <w:t>Descreva sucintamente um projecto de investigação jornalístico relacionado com a malária que proporia pesquisar com o fim de promover mudanças no seu país ou região (máx. 500 palavras).</w:t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spacing w:before="7" w:after="0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Normal"/>
        <w:spacing w:lineRule="auto" w:line="259" w:before="1" w:after="0"/>
        <w:ind w:left="100" w:right="320" w:hanging="0"/>
        <w:rPr>
          <w:rFonts w:ascii="Metric Regular" w:hAnsi="Metric Regular"/>
          <w:b/>
          <w:b/>
        </w:rPr>
      </w:pPr>
      <w:r>
        <w:rPr>
          <w:rFonts w:ascii="Metric Regular" w:hAnsi="Metric Regular"/>
          <w:b/>
        </w:rPr>
        <w:t>Descreva pelo menos 5 exemplos do seu trabalho em meios de comunicação social de relevo que revelem interesse em informar sobre os cuidados de saúde ou as dificuldades de desenvolvimento no seu país, e como a sua cobertura produziu um impacto transformador relativamente à questão.</w:t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TextBody"/>
        <w:rPr>
          <w:rFonts w:ascii="Metric Regular" w:hAnsi="Metric Regular"/>
          <w:b/>
          <w:b/>
          <w:sz w:val="22"/>
          <w:szCs w:val="22"/>
        </w:rPr>
      </w:pPr>
      <w:r>
        <w:rPr>
          <w:rFonts w:ascii="Metric Regular" w:hAnsi="Metric Regular"/>
          <w:b/>
          <w:sz w:val="22"/>
          <w:szCs w:val="22"/>
        </w:rPr>
      </w:r>
    </w:p>
    <w:p>
      <w:pPr>
        <w:pStyle w:val="Normal"/>
        <w:spacing w:lineRule="auto" w:line="259" w:before="168" w:after="0"/>
        <w:ind w:left="100" w:hanging="0"/>
        <w:rPr/>
      </w:pPr>
      <w:r>
        <w:rPr>
          <w:rFonts w:ascii="Metric Regular" w:hAnsi="Metric Regular"/>
          <w:i/>
        </w:rPr>
        <w:t xml:space="preserve">O prazo para as candidaturas termina </w:t>
      </w:r>
      <w:r>
        <w:rPr>
          <w:rFonts w:ascii="Metric Regular" w:hAnsi="Metric Regular"/>
          <w:b/>
          <w:bCs/>
          <w:i/>
        </w:rPr>
        <w:t>quinta-feira 31 de Janeiro de 2019</w:t>
      </w:r>
      <w:r>
        <w:rPr>
          <w:rFonts w:ascii="Metric Regular" w:hAnsi="Metric Regular"/>
          <w:i/>
        </w:rPr>
        <w:t xml:space="preserve">. Todos os formulários de candidatura preenchidos devem ser enviados por e-mail para </w:t>
      </w:r>
      <w:hyperlink r:id="rId5">
        <w:r>
          <w:rPr>
            <w:rStyle w:val="ListLabel15"/>
            <w:rFonts w:ascii="Metric Regular" w:hAnsi="Metric Regular"/>
            <w:i/>
          </w:rPr>
          <w:t xml:space="preserve">scpc@endmalaria.org. </w:t>
        </w:r>
      </w:hyperlink>
      <w:r>
        <w:rPr>
          <w:rFonts w:ascii="Metric Regular" w:hAnsi="Metric Regular"/>
          <w:i/>
        </w:rPr>
        <w:t>Eventuais perguntas sobre a admissão devem ser enviadas para o mesmo endereço de e-mail.</w:t>
      </w:r>
    </w:p>
    <w:p>
      <w:pPr>
        <w:pStyle w:val="Normal"/>
        <w:spacing w:lineRule="exact" w:line="230"/>
        <w:ind w:left="100" w:hanging="0"/>
        <w:rPr/>
      </w:pPr>
      <w:r>
        <w:rPr>
          <w:rFonts w:ascii="Metric Regular" w:hAnsi="Metric Regular"/>
          <w:i/>
        </w:rPr>
        <w:t xml:space="preserve">Os associados seleccionados serão notificados até </w:t>
      </w:r>
      <w:r>
        <w:rPr>
          <w:rFonts w:ascii="Metric Regular" w:hAnsi="Metric Regular"/>
          <w:b/>
          <w:bCs/>
          <w:i/>
        </w:rPr>
        <w:t>quinta-feira, 28 de Fevereiro de 2019</w:t>
      </w:r>
      <w:r>
        <w:rPr>
          <w:rFonts w:ascii="Metric Regular" w:hAnsi="Metric Regular"/>
          <w:i/>
        </w:rPr>
        <w:t>.</w:t>
      </w:r>
    </w:p>
    <w:sectPr>
      <w:headerReference w:type="default" r:id="rId6"/>
      <w:type w:val="nextPage"/>
      <w:pgSz w:w="11906" w:h="16838"/>
      <w:pgMar w:left="1340" w:right="1360" w:header="196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Metric Regula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-307975</wp:posOffset>
          </wp:positionH>
          <wp:positionV relativeFrom="paragraph">
            <wp:posOffset>-133985</wp:posOffset>
          </wp:positionV>
          <wp:extent cx="1514475" cy="919480"/>
          <wp:effectExtent l="0" t="0" r="0" b="0"/>
          <wp:wrapTopAndBottom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820" w:hanging="360"/>
      </w:pPr>
      <w:rPr>
        <w:rFonts w:ascii="Wingdings" w:hAnsi="Wingdings" w:cs="Wingdings" w:hint="default"/>
        <w:w w:val="99"/>
        <w:lang w:val="en-GB" w:eastAsia="en-GB" w:bidi="en-GB"/>
      </w:rPr>
    </w:lvl>
    <w:lvl w:ilvl="1">
      <w:start w:val="1"/>
      <w:numFmt w:val="bullet"/>
      <w:lvlText w:val=""/>
      <w:lvlJc w:val="left"/>
      <w:pPr>
        <w:ind w:left="1658" w:hanging="360"/>
      </w:pPr>
      <w:rPr>
        <w:rFonts w:ascii="Symbol" w:hAnsi="Symbol" w:cs="Symbol" w:hint="default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497" w:hanging="360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335" w:hanging="360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174" w:hanging="360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013" w:hanging="360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5851" w:hanging="360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690" w:hanging="360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529" w:hanging="360"/>
      </w:pPr>
      <w:rPr>
        <w:rFonts w:ascii="Symbol" w:hAnsi="Symbol" w:cs="Symbol" w:hint="default"/>
        <w:lang w:val="en-GB" w:eastAsia="en-GB" w:bidi="en-GB"/>
      </w:rPr>
    </w:lvl>
  </w:abstractNum>
  <w:abstractNum w:abstractNumId="2"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eastAsia="en-GB" w:bidi="en-GB" w:val="pt-PT"/>
    </w:rPr>
  </w:style>
  <w:style w:type="paragraph" w:styleId="Heading1">
    <w:name w:val="Heading 1"/>
    <w:basedOn w:val="Normal"/>
    <w:uiPriority w:val="9"/>
    <w:qFormat/>
    <w:pPr>
      <w:spacing w:before="82" w:after="0"/>
      <w:ind w:left="100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209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b209e"/>
    <w:rPr>
      <w:rFonts w:ascii="Arial" w:hAnsi="Arial" w:eastAsia="Arial" w:cs="Arial"/>
      <w:sz w:val="20"/>
      <w:szCs w:val="20"/>
      <w:lang w:eastAsia="en-GB" w:bidi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b209e"/>
    <w:rPr>
      <w:rFonts w:ascii="Arial" w:hAnsi="Arial" w:eastAsia="Arial" w:cs="Arial"/>
      <w:b/>
      <w:bCs/>
      <w:sz w:val="20"/>
      <w:szCs w:val="20"/>
      <w:lang w:eastAsia="en-GB" w:bidi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b209e"/>
    <w:rPr>
      <w:rFonts w:ascii="Segoe UI" w:hAnsi="Segoe UI" w:eastAsia="Arial" w:cs="Segoe UI"/>
      <w:sz w:val="18"/>
      <w:szCs w:val="18"/>
      <w:lang w:eastAsia="en-GB" w:bidi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b209e"/>
    <w:rPr>
      <w:rFonts w:ascii="Arial" w:hAnsi="Arial" w:eastAsia="Arial" w:cs="Arial"/>
      <w:lang w:eastAsia="en-GB" w:bidi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b209e"/>
    <w:rPr>
      <w:rFonts w:ascii="Arial" w:hAnsi="Arial" w:eastAsia="Arial" w:cs="Arial"/>
      <w:lang w:eastAsia="en-GB" w:bidi="en-GB"/>
    </w:rPr>
  </w:style>
  <w:style w:type="character" w:styleId="ListLabel1">
    <w:name w:val="ListLabel 1"/>
    <w:qFormat/>
    <w:rPr>
      <w:rFonts w:ascii="Metric Regular" w:hAnsi="Metric Regular"/>
      <w:w w:val="99"/>
      <w:lang w:val="en-GB" w:eastAsia="en-GB" w:bidi="en-GB"/>
    </w:rPr>
  </w:style>
  <w:style w:type="character" w:styleId="ListLabel2">
    <w:name w:val="ListLabel 2"/>
    <w:qFormat/>
    <w:rPr>
      <w:lang w:val="en-GB" w:eastAsia="en-GB" w:bidi="en-GB"/>
    </w:rPr>
  </w:style>
  <w:style w:type="character" w:styleId="ListLabel3">
    <w:name w:val="ListLabel 3"/>
    <w:qFormat/>
    <w:rPr>
      <w:lang w:val="en-GB" w:eastAsia="en-GB" w:bidi="en-GB"/>
    </w:rPr>
  </w:style>
  <w:style w:type="character" w:styleId="ListLabel4">
    <w:name w:val="ListLabel 4"/>
    <w:qFormat/>
    <w:rPr>
      <w:lang w:val="en-GB" w:eastAsia="en-GB" w:bidi="en-GB"/>
    </w:rPr>
  </w:style>
  <w:style w:type="character" w:styleId="ListLabel5">
    <w:name w:val="ListLabel 5"/>
    <w:qFormat/>
    <w:rPr>
      <w:lang w:val="en-GB" w:eastAsia="en-GB" w:bidi="en-GB"/>
    </w:rPr>
  </w:style>
  <w:style w:type="character" w:styleId="ListLabel6">
    <w:name w:val="ListLabel 6"/>
    <w:qFormat/>
    <w:rPr>
      <w:lang w:val="en-GB" w:eastAsia="en-GB" w:bidi="en-GB"/>
    </w:rPr>
  </w:style>
  <w:style w:type="character" w:styleId="ListLabel7">
    <w:name w:val="ListLabel 7"/>
    <w:qFormat/>
    <w:rPr>
      <w:lang w:val="en-GB" w:eastAsia="en-GB" w:bidi="en-GB"/>
    </w:rPr>
  </w:style>
  <w:style w:type="character" w:styleId="ListLabel8">
    <w:name w:val="ListLabel 8"/>
    <w:qFormat/>
    <w:rPr>
      <w:lang w:val="en-GB" w:eastAsia="en-GB" w:bidi="en-GB"/>
    </w:rPr>
  </w:style>
  <w:style w:type="character" w:styleId="ListLabel9">
    <w:name w:val="ListLabel 9"/>
    <w:qFormat/>
    <w:rPr>
      <w:lang w:val="en-GB" w:eastAsia="en-GB" w:bidi="en-GB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Metric Regular" w:hAnsi="Metric Regular"/>
      <w:sz w:val="22"/>
      <w:szCs w:val="22"/>
      <w:u w:val="single"/>
    </w:rPr>
  </w:style>
  <w:style w:type="character" w:styleId="ListLabel14">
    <w:name w:val="ListLabel 14"/>
    <w:qFormat/>
    <w:rPr>
      <w:rFonts w:ascii="Metric Regular" w:hAnsi="Metric Regular"/>
      <w:sz w:val="22"/>
      <w:szCs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5">
    <w:name w:val="ListLabel 15"/>
    <w:qFormat/>
    <w:rPr>
      <w:rFonts w:ascii="Metric Regular" w:hAnsi="Metric Regular"/>
      <w:i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0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5" w:after="0"/>
      <w:ind w:left="82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b209e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ab209e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209e"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09e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b209e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ndmalaria.org/about-malaria/malaria-map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mailto:scpc@endmalaria.org" TargetMode="Externa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5</Pages>
  <Words>1080</Words>
  <Characters>5947</Characters>
  <CharactersWithSpaces>6996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2018-12-14T17:01:00Z</dcterms:created>
  <dc:creator>Millie Heslam</dc:creator>
  <dc:description/>
  <dc:language>en</dc:language>
  <cp:lastModifiedBy>Maria Schiavo</cp:lastModifiedBy>
  <dcterms:modified xsi:type="dcterms:W3CDTF">2018-12-14T17:04:00Z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2018-10-29T00:00:00Z</vt:filetime>
  </property>
  <property fmtid="{D5CDD505-2E9C-101B-9397-08002B2CF9AE}" pid="4" name="Creator">
    <vt:lpwstr>Microsoft® Word for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2018-12-12T00:00:00Z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