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D1689" w14:textId="37F384AA" w:rsidR="00AA5ECD" w:rsidRPr="00F43DCB" w:rsidRDefault="00CC7FAF" w:rsidP="00F43DCB">
      <w:pPr>
        <w:pStyle w:val="Ttulo"/>
        <w:jc w:val="center"/>
        <w:rPr>
          <w:sz w:val="36"/>
          <w:szCs w:val="36"/>
        </w:rPr>
      </w:pPr>
      <w:r>
        <w:rPr>
          <w:sz w:val="36"/>
        </w:rPr>
        <w:t>Análise de Lacunas Programáticas da Malária:</w:t>
      </w:r>
    </w:p>
    <w:p w14:paraId="6C7B2ED7" w14:textId="5467F769" w:rsidR="00CC7FAF" w:rsidRPr="00F43DCB" w:rsidRDefault="00CC7FAF" w:rsidP="00F43DCB">
      <w:pPr>
        <w:pStyle w:val="Ttulo"/>
        <w:jc w:val="center"/>
        <w:rPr>
          <w:sz w:val="36"/>
          <w:szCs w:val="36"/>
        </w:rPr>
      </w:pPr>
      <w:r>
        <w:rPr>
          <w:sz w:val="36"/>
        </w:rPr>
        <w:t>Nota de Orientação de Novembro de 2022</w:t>
      </w:r>
    </w:p>
    <w:p w14:paraId="4CC0CDA3" w14:textId="77777777" w:rsidR="005810C5" w:rsidRPr="006869FB" w:rsidRDefault="005810C5" w:rsidP="00452CFA">
      <w:pPr>
        <w:pStyle w:val="Cabealho2"/>
      </w:pPr>
      <w:r>
        <w:t>Introdução</w:t>
      </w:r>
    </w:p>
    <w:p w14:paraId="1B9DD6D6" w14:textId="59D05E87" w:rsidR="007D5468" w:rsidRPr="006869FB" w:rsidRDefault="003F50EA" w:rsidP="006869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Uma análise de lacunas programáticas abrangente descreve os requisitos programáticos necessários para implementar plenamente o plano estratégico de um programa nacional de malária. Também identifica componentes já custeadas e destaca quaisquer lacunas financeiras pendentes para as quais estão a ser procuradas verbas. A análise abrange as principais intervenções de controlo da malária, incluindo o controlo de vetores (mosquiteiros tratados com inseticida [MTI] e pulverização residual intradomiciliária [PRI]), a gestão de casos (testagem de diagnóstico e tratamento) e a quimioterapia preventiva (tratamento preventivo intermitente na gravidez [TPIg] e quimioprevenção sazonal da malária [QSM]), bem como as atividades de apoio necessárias para implementar e monitorizar eficazmente essas intervenções, como a capacidade de gestão, a formação, a mudança social e comportamental e a monitorização e avaliação. A análise de lacunas segue uma abordagem baseada em dados concretos ao planeamento e à programação em função das metas e estratégias delineadas no plano estratégico nacional (PEN) da malária.  </w:t>
      </w:r>
    </w:p>
    <w:p w14:paraId="7F8A6CA0" w14:textId="77777777" w:rsidR="00CC7FAF" w:rsidRPr="006869FB" w:rsidRDefault="00CC7FAF" w:rsidP="00452CFA">
      <w:pPr>
        <w:pStyle w:val="Cabealho2"/>
      </w:pPr>
      <w:r>
        <w:t>Definição</w:t>
      </w:r>
    </w:p>
    <w:p w14:paraId="5C237C4D" w14:textId="30FF95EC" w:rsidR="00CC7FAF" w:rsidRPr="006869FB" w:rsidRDefault="006F55FF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i/>
          <w:color w:val="4F81BD" w:themeColor="accent1"/>
          <w:sz w:val="20"/>
        </w:rPr>
        <w:t>Lacuna programática</w:t>
      </w:r>
      <w:r>
        <w:rPr>
          <w:rFonts w:ascii="Arial" w:hAnsi="Arial"/>
          <w:sz w:val="20"/>
        </w:rPr>
        <w:t xml:space="preserve"> é definida pelos serviços e produtos necessários para suprir a lacuna entre a cobertura existente e os objetivos planeados para uma dada intervenção contra a malária. Os serviços abrangem atividades técnicas e de apoio. </w:t>
      </w:r>
    </w:p>
    <w:p w14:paraId="22333871" w14:textId="5C1EECC7" w:rsidR="00CC7FAF" w:rsidRPr="006869FB" w:rsidRDefault="00CC7FAF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i/>
          <w:color w:val="4F81BD" w:themeColor="accent1"/>
          <w:sz w:val="20"/>
        </w:rPr>
        <w:t>Lacuna financeira</w:t>
      </w:r>
      <w:r>
        <w:rPr>
          <w:rFonts w:ascii="Arial" w:hAnsi="Arial"/>
          <w:sz w:val="20"/>
        </w:rPr>
        <w:t xml:space="preserve"> representa a diferença entre os recursos financeiros disponíveis (ou recursos disponíveis projetados) e os recursos totais necessários para suprir as lacunas programáticas. É necessária uma análise exaustiva da lacuna programática para fundamentar a estimativa de recursos para a análise da lacuna financeira. </w:t>
      </w:r>
    </w:p>
    <w:p w14:paraId="4EC78FF9" w14:textId="77777777" w:rsidR="005B0B5D" w:rsidRPr="006869FB" w:rsidRDefault="00902194" w:rsidP="0020756E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Princípios orientadores</w:t>
      </w:r>
    </w:p>
    <w:p w14:paraId="4D544F5A" w14:textId="4F51362C" w:rsidR="00DB46FE" w:rsidRPr="006869FB" w:rsidRDefault="005B0B5D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</w:rPr>
        <w:t>Baseados em dados concretos:</w:t>
      </w:r>
      <w:r>
        <w:rPr>
          <w:rFonts w:ascii="Arial" w:hAnsi="Arial"/>
          <w:sz w:val="20"/>
        </w:rPr>
        <w:t xml:space="preserve">  são necessários dados/informações exatos e pormenorizados para assegurar uma análise de lacunas credível. Os dados concretos relevantes incluem os seguintes: </w:t>
      </w:r>
    </w:p>
    <w:p w14:paraId="36750FFB" w14:textId="79982241" w:rsidR="00DB46FE" w:rsidRPr="006869FB" w:rsidRDefault="00DB46FE" w:rsidP="00A6629D">
      <w:pPr>
        <w:pStyle w:val="PargrafodaLista"/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Dados históricos e experiência da implementação de programas anteriores;  </w:t>
      </w:r>
    </w:p>
    <w:p w14:paraId="43F2D352" w14:textId="29C75003" w:rsidR="00DB46FE" w:rsidRPr="006869FB" w:rsidRDefault="00FB3A13" w:rsidP="00A6629D">
      <w:pPr>
        <w:pStyle w:val="PargrafodaLista"/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Dados populacionais e epidemiológicos desagregados por faixa etária e localização geográfica (população por distrito, urbana e rural, etc.); </w:t>
      </w:r>
    </w:p>
    <w:p w14:paraId="0110AC07" w14:textId="77777777" w:rsidR="00541ABF" w:rsidRPr="006869FB" w:rsidRDefault="00DB46FE" w:rsidP="00A6629D">
      <w:pPr>
        <w:pStyle w:val="PargrafodaLista"/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Informações atualizadas sobre a situação da implementação das intervenções existentes;</w:t>
      </w:r>
    </w:p>
    <w:p w14:paraId="55A1C109" w14:textId="6B875669" w:rsidR="005B0B5D" w:rsidRPr="006869FB" w:rsidRDefault="00F13DEF" w:rsidP="00A6629D">
      <w:pPr>
        <w:pStyle w:val="PargrafodaLista"/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São necessárias informações sobre o cenário de financiamento nacional, tanto o real como o promissório, para conseguir uma análise de lacunas financeiras credível a partir de uma análise programática. </w:t>
      </w:r>
    </w:p>
    <w:p w14:paraId="345F9048" w14:textId="684330E0" w:rsidR="00D43D9C" w:rsidRPr="006869FB" w:rsidRDefault="00B86B72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</w:rPr>
        <w:t>Harmonização e alinhamento:</w:t>
      </w:r>
      <w:r>
        <w:rPr>
          <w:rFonts w:ascii="Arial" w:hAnsi="Arial"/>
          <w:i/>
          <w:iCs/>
          <w:sz w:val="20"/>
        </w:rPr>
        <w:t xml:space="preserve"> </w:t>
      </w:r>
      <w:r>
        <w:rPr>
          <w:rFonts w:ascii="Arial" w:hAnsi="Arial"/>
          <w:sz w:val="20"/>
        </w:rPr>
        <w:t xml:space="preserve">a análise de lacunas baseia-se no plano estratégico nacional. A coordenação dos parceiros, a harmonização e a partilha de informações facilitarão o consenso sobre as lacunas programáticas e financeiras. A análise de lacunas programáticas é parte integrante do ciclo de planeamento e implementação dos programas e não um exercício autónomo. Deve ser regularmente atualizada quando ficarem disponíveis novas informações. </w:t>
      </w:r>
    </w:p>
    <w:p w14:paraId="0E25D3E9" w14:textId="62023114" w:rsidR="00DB46FE" w:rsidRPr="006869FB" w:rsidRDefault="00B86B72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</w:rPr>
        <w:t>Equidade:</w:t>
      </w:r>
      <w:r>
        <w:rPr>
          <w:rFonts w:ascii="Arial" w:hAnsi="Arial"/>
          <w:sz w:val="20"/>
        </w:rPr>
        <w:t xml:space="preserve"> ao avaliar a cobertura das intervenções, é importante que o programa nacional da malária identifique qualquer disparidade em matéria de género, localização geográfica, grupos populacionais específicos ou faixas etárias, para assegurar que as estratégias de implementação recomendadas sejam abrangentes e equitativas. Deve ser prestada atenção especial às populações muito vulneráveis ​​e aos grupos de difícil acesso, como refugiados e pessoas deslocadas internamente (PDI).</w:t>
      </w:r>
    </w:p>
    <w:p w14:paraId="04878E34" w14:textId="20618F60" w:rsidR="00B86B72" w:rsidRPr="006869FB" w:rsidRDefault="00B86B72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</w:rPr>
        <w:t>Transparência e responsabilização:</w:t>
      </w:r>
      <w:r>
        <w:rPr>
          <w:rFonts w:ascii="Arial" w:hAnsi="Arial"/>
          <w:sz w:val="20"/>
        </w:rPr>
        <w:t xml:space="preserve"> a partilha transparente de informações entre o programa da malária e os parceiros evitará a duplicação de esforços, possibilitará o uso eficaz dos recursos e assegurará a responsabilização mútua.  </w:t>
      </w:r>
    </w:p>
    <w:p w14:paraId="5F670574" w14:textId="77777777" w:rsidR="007D5468" w:rsidRPr="006869FB" w:rsidRDefault="00FB3C97" w:rsidP="007A7518">
      <w:pPr>
        <w:pStyle w:val="Cabealho2"/>
      </w:pPr>
      <w:r>
        <w:lastRenderedPageBreak/>
        <w:t xml:space="preserve">Métodos para análise de lacunas programáticas da malária </w:t>
      </w:r>
    </w:p>
    <w:p w14:paraId="5C41B916" w14:textId="367C945B" w:rsidR="00D3572C" w:rsidRPr="006869FB" w:rsidRDefault="0053632F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 Comité de Parceiros para Apoio Regional/Nacional (CRSPC, ou Country/Regional Support Partnership Committee) da Parceria RBM recomenda que todos os países realizem uma avaliação exaustiva do desempenho dos programas que será a base para um plano estratégico nacional (PEN) fundamentado em dados concretos. Para facilitar a análise de lacunas, o CRSPC recomenda a elaboração de um plano plurianual de implementação/negócios e de um plano operacional anual (para orientar o trabalho diário) do PEN.  Os resultados da estratificação subnacional e dos processos de adaptação dos países devem ser usados ​​para justificar a priorização de intervenções e áreas geográficas, em particular quando os recursos forem insuficientes para cobrir todas as necessidades. Recomenda-se a aplicação das etapas seguintes: </w:t>
      </w:r>
    </w:p>
    <w:p w14:paraId="60665702" w14:textId="14E2945A" w:rsidR="005E0FE5" w:rsidRPr="006869FB" w:rsidRDefault="00D3572C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1.  Identifique a necessidade programática </w:t>
      </w:r>
    </w:p>
    <w:p w14:paraId="5124D5A5" w14:textId="731A1348" w:rsidR="00D3572C" w:rsidRPr="006869FB" w:rsidRDefault="00D3572C" w:rsidP="00A6629D">
      <w:pPr>
        <w:pStyle w:val="PargrafodaLista"/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Use dados populacionais do país e epidemiológicos da malária exatos, atualize a estratificação da malária e a população em risco (por faixa etária, sexo e distribuição geográfica). Sempre que o censo da população tenha mais de 5 anos, pondere o acréscimo de uma margem de segurança de 10%. </w:t>
      </w:r>
    </w:p>
    <w:p w14:paraId="0D2506B1" w14:textId="56EE623A" w:rsidR="00D3572C" w:rsidRPr="006869FB" w:rsidRDefault="00D3572C" w:rsidP="00A6629D">
      <w:pPr>
        <w:pStyle w:val="PargrafodaLista"/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Use metas e intervenções delineadas no plano estratégico nacional e baseadas nas melhores informações epidemiológicas disponíveis, incluindo a estratificação subnacional, e identifique áreas geográficas e populações vulneráveis ​​que beneficiarão de cada intervenção e abordagem de execução.</w:t>
      </w:r>
    </w:p>
    <w:p w14:paraId="607E6F6B" w14:textId="6890C26A" w:rsidR="00D3572C" w:rsidRPr="006869FB" w:rsidRDefault="00D3572C" w:rsidP="00A6629D">
      <w:pPr>
        <w:pStyle w:val="PargrafodaLista"/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Desenvolva objetivos e indicadores SMART</w:t>
      </w:r>
      <w:r w:rsidR="005B7C0A" w:rsidRPr="006869FB">
        <w:rPr>
          <w:rStyle w:val="Refdenotaderodap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/>
          <w:sz w:val="20"/>
        </w:rPr>
        <w:t xml:space="preserve"> (o quadro de desempenho do plano estratégico nacional deve ser a referência principal): </w:t>
      </w:r>
    </w:p>
    <w:p w14:paraId="6D8541C5" w14:textId="77777777" w:rsidR="00D3572C" w:rsidRPr="006869FB" w:rsidRDefault="00D3572C" w:rsidP="00A6629D">
      <w:pPr>
        <w:pStyle w:val="PargrafodaLista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Desenvolva um plano de implementação plurianual com metas anuais quantificadas;</w:t>
      </w:r>
    </w:p>
    <w:p w14:paraId="2725AF3F" w14:textId="62D30876" w:rsidR="00844AE3" w:rsidRPr="006869FB" w:rsidRDefault="00CF1E68" w:rsidP="00A6629D">
      <w:pPr>
        <w:pStyle w:val="PargrafodaLista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Descreva as abordagens ou estratégias de prestação de serviços para executar as principais intervenções; </w:t>
      </w:r>
    </w:p>
    <w:p w14:paraId="6BC0C8AB" w14:textId="3B5859DA" w:rsidR="00B267E0" w:rsidRPr="006869FB" w:rsidRDefault="00EE1D72" w:rsidP="00A6629D">
      <w:pPr>
        <w:pStyle w:val="PargrafodaLista"/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Quantifique os produtos necessários para cada intervenção. Note que as ferramentas desenvolvidas pelos parceiros da RBM, bem como a orientação dos parceiros do CRSPC e da OMS, podem ajudar no exercício de quantificação; </w:t>
      </w:r>
    </w:p>
    <w:p w14:paraId="5DDF3E95" w14:textId="77777777" w:rsidR="00B267E0" w:rsidRPr="006869FB" w:rsidRDefault="00B267E0" w:rsidP="00A6629D">
      <w:pPr>
        <w:pStyle w:val="PargrafodaLista"/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Identifique as atividades pormenorizadas a realizar e o calendário (atividades técnicas e de apoio). </w:t>
      </w:r>
    </w:p>
    <w:p w14:paraId="77B7B720" w14:textId="54F88EAD" w:rsidR="00B267E0" w:rsidRPr="006869FB" w:rsidRDefault="00D3572C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2. Identifique o que é presentemente financiado. Avalie os produtos, atividades e intervenções já abrangidos pelos sistemas e recursos existentes, incluindo a identificação de todas as contribuições de parceiros. </w:t>
      </w:r>
    </w:p>
    <w:p w14:paraId="3B36B1C5" w14:textId="5E866DB2" w:rsidR="00FE74FD" w:rsidRPr="006869FB" w:rsidRDefault="00B267E0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3. Identifique a lacuna: identifique os produtos e atividades (técnicas e de apoio) que ainda é necessário abranger.</w:t>
      </w:r>
    </w:p>
    <w:p w14:paraId="16B26A0C" w14:textId="17101E0D" w:rsidR="00F11848" w:rsidRPr="006869FB" w:rsidRDefault="00F11848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4. Privilegie a canalização de recursos novos para as intervenções com a melhor relação custo-eficácia e o maior impacto. Esse exercício de priorização deve levar em conta as mais recentes recomendações da OMS, o plano estratégico nacional, os resultados da estratificação subnacional e exercícios de adaptação do país e a experiência de implementação do país. </w:t>
      </w:r>
    </w:p>
    <w:p w14:paraId="3C4E9B3F" w14:textId="69A3CFB5" w:rsidR="00AB7A26" w:rsidRPr="006869FB" w:rsidRDefault="00AB7A26" w:rsidP="0020756E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Quadro 1: Análise de lacunas programáticas genérica</w:t>
      </w:r>
    </w:p>
    <w:tbl>
      <w:tblPr>
        <w:tblW w:w="9360" w:type="dxa"/>
        <w:tblInd w:w="1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720"/>
        <w:gridCol w:w="720"/>
        <w:gridCol w:w="720"/>
        <w:gridCol w:w="720"/>
        <w:gridCol w:w="720"/>
        <w:gridCol w:w="720"/>
        <w:gridCol w:w="810"/>
      </w:tblGrid>
      <w:tr w:rsidR="00AB7A26" w:rsidRPr="006869FB" w14:paraId="4C0417B6" w14:textId="77777777" w:rsidTr="001F1AAF">
        <w:trPr>
          <w:trHeight w:val="233"/>
          <w:tblHeader/>
        </w:trPr>
        <w:tc>
          <w:tcPr>
            <w:tcW w:w="4230" w:type="dxa"/>
            <w:shd w:val="clear" w:color="auto" w:fill="9BBB59"/>
          </w:tcPr>
          <w:p w14:paraId="2EA6A112" w14:textId="77777777" w:rsidR="00AB7A26" w:rsidRPr="006869FB" w:rsidRDefault="00AB7A26" w:rsidP="0020756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Intervenção prioritária </w:t>
            </w:r>
          </w:p>
        </w:tc>
        <w:tc>
          <w:tcPr>
            <w:tcW w:w="1440" w:type="dxa"/>
            <w:gridSpan w:val="2"/>
            <w:shd w:val="clear" w:color="auto" w:fill="9BBB59"/>
          </w:tcPr>
          <w:p w14:paraId="497DF991" w14:textId="77777777" w:rsidR="00AB7A26" w:rsidRPr="006869FB" w:rsidRDefault="00AB7A26" w:rsidP="0020756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Historial</w:t>
            </w:r>
          </w:p>
        </w:tc>
        <w:tc>
          <w:tcPr>
            <w:tcW w:w="2160" w:type="dxa"/>
            <w:gridSpan w:val="3"/>
            <w:shd w:val="clear" w:color="auto" w:fill="9BBB59"/>
          </w:tcPr>
          <w:p w14:paraId="00DC1B34" w14:textId="77777777" w:rsidR="00AB7A26" w:rsidRPr="006869FB" w:rsidRDefault="00AB7A26" w:rsidP="0020756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Período intermédio</w:t>
            </w:r>
          </w:p>
        </w:tc>
        <w:tc>
          <w:tcPr>
            <w:tcW w:w="1530" w:type="dxa"/>
            <w:gridSpan w:val="2"/>
            <w:shd w:val="clear" w:color="auto" w:fill="9BBB59"/>
          </w:tcPr>
          <w:p w14:paraId="170C401B" w14:textId="77777777" w:rsidR="00AB7A26" w:rsidRPr="006869FB" w:rsidRDefault="00AB7A26" w:rsidP="0020756E">
            <w:pPr>
              <w:spacing w:before="12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Período final</w:t>
            </w:r>
          </w:p>
        </w:tc>
      </w:tr>
      <w:tr w:rsidR="00AB7A26" w:rsidRPr="006869FB" w14:paraId="3B9AA9CF" w14:textId="77777777" w:rsidTr="001F1AAF">
        <w:trPr>
          <w:trHeight w:val="233"/>
          <w:tblHeader/>
        </w:trPr>
        <w:tc>
          <w:tcPr>
            <w:tcW w:w="4230" w:type="dxa"/>
            <w:shd w:val="clear" w:color="auto" w:fill="9BBB59"/>
          </w:tcPr>
          <w:p w14:paraId="540E8688" w14:textId="77777777" w:rsidR="00AB7A26" w:rsidRPr="006869FB" w:rsidRDefault="00AB7A26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9BBB59"/>
          </w:tcPr>
          <w:p w14:paraId="4C4BF6A8" w14:textId="77777777" w:rsidR="00AB7A26" w:rsidRPr="006869FB" w:rsidRDefault="00AB7A26" w:rsidP="0020756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-2A</w:t>
            </w:r>
          </w:p>
        </w:tc>
        <w:tc>
          <w:tcPr>
            <w:tcW w:w="720" w:type="dxa"/>
            <w:shd w:val="clear" w:color="auto" w:fill="9BBB59"/>
          </w:tcPr>
          <w:p w14:paraId="19427069" w14:textId="77777777" w:rsidR="00AB7A26" w:rsidRPr="006869FB" w:rsidRDefault="00AB7A26" w:rsidP="0020756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-1A</w:t>
            </w:r>
          </w:p>
        </w:tc>
        <w:tc>
          <w:tcPr>
            <w:tcW w:w="720" w:type="dxa"/>
            <w:shd w:val="clear" w:color="auto" w:fill="9BBB59"/>
          </w:tcPr>
          <w:p w14:paraId="24DF3CC5" w14:textId="77777777" w:rsidR="00AB7A26" w:rsidRPr="006869FB" w:rsidRDefault="00AB7A26" w:rsidP="0020756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A1</w:t>
            </w:r>
          </w:p>
        </w:tc>
        <w:tc>
          <w:tcPr>
            <w:tcW w:w="720" w:type="dxa"/>
            <w:shd w:val="clear" w:color="auto" w:fill="9BBB59"/>
          </w:tcPr>
          <w:p w14:paraId="232B1621" w14:textId="77777777" w:rsidR="00AB7A26" w:rsidRPr="006869FB" w:rsidRDefault="00AB7A26" w:rsidP="0020756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A2</w:t>
            </w:r>
          </w:p>
        </w:tc>
        <w:tc>
          <w:tcPr>
            <w:tcW w:w="720" w:type="dxa"/>
            <w:shd w:val="clear" w:color="auto" w:fill="9BBB59"/>
          </w:tcPr>
          <w:p w14:paraId="46FCAB2E" w14:textId="77777777" w:rsidR="00AB7A26" w:rsidRPr="006869FB" w:rsidRDefault="00AB7A26" w:rsidP="0020756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A3</w:t>
            </w:r>
          </w:p>
        </w:tc>
        <w:tc>
          <w:tcPr>
            <w:tcW w:w="720" w:type="dxa"/>
            <w:shd w:val="clear" w:color="auto" w:fill="9BBB59"/>
          </w:tcPr>
          <w:p w14:paraId="663FF094" w14:textId="77777777" w:rsidR="00AB7A26" w:rsidRPr="006869FB" w:rsidRDefault="00AB7A26" w:rsidP="0020756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A4</w:t>
            </w:r>
          </w:p>
        </w:tc>
        <w:tc>
          <w:tcPr>
            <w:tcW w:w="810" w:type="dxa"/>
            <w:shd w:val="clear" w:color="auto" w:fill="9BBB59"/>
          </w:tcPr>
          <w:p w14:paraId="3DFD5B0C" w14:textId="77777777" w:rsidR="00AB7A26" w:rsidRPr="006869FB" w:rsidRDefault="00AB7A26" w:rsidP="0020756E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A5</w:t>
            </w:r>
          </w:p>
        </w:tc>
      </w:tr>
      <w:tr w:rsidR="00D54ECB" w:rsidRPr="006869FB" w14:paraId="642EAE50" w14:textId="77777777" w:rsidTr="001F1AAF">
        <w:trPr>
          <w:trHeight w:val="233"/>
          <w:tblHeader/>
        </w:trPr>
        <w:tc>
          <w:tcPr>
            <w:tcW w:w="4230" w:type="dxa"/>
            <w:shd w:val="clear" w:color="auto" w:fill="D6E3BC"/>
            <w:vAlign w:val="center"/>
          </w:tcPr>
          <w:p w14:paraId="37714ADC" w14:textId="22EC96C1" w:rsidR="00D54ECB" w:rsidRPr="006869FB" w:rsidRDefault="00D54ECB" w:rsidP="0020756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A:  Necessidades anuais do país (por exemplo: MTI, PRI, TDR, TCA, etc.)  </w:t>
            </w:r>
          </w:p>
        </w:tc>
        <w:tc>
          <w:tcPr>
            <w:tcW w:w="720" w:type="dxa"/>
            <w:shd w:val="clear" w:color="auto" w:fill="D6E3BC"/>
          </w:tcPr>
          <w:p w14:paraId="1051998A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257BFEC7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20E9E240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47996F71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645512BF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2EBD1B47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/>
          </w:tcPr>
          <w:p w14:paraId="27CC503B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CB" w:rsidRPr="006869FB" w14:paraId="44000F73" w14:textId="77777777" w:rsidTr="001F1AAF">
        <w:trPr>
          <w:trHeight w:val="233"/>
          <w:tblHeader/>
        </w:trPr>
        <w:tc>
          <w:tcPr>
            <w:tcW w:w="4230" w:type="dxa"/>
            <w:shd w:val="clear" w:color="auto" w:fill="D6E3BC"/>
            <w:vAlign w:val="center"/>
          </w:tcPr>
          <w:p w14:paraId="6DE22CD2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B: Extensão da necessidade anual já planeada para ser satisfeita no programa e com os recursos existentes</w:t>
            </w:r>
          </w:p>
        </w:tc>
        <w:tc>
          <w:tcPr>
            <w:tcW w:w="720" w:type="dxa"/>
            <w:shd w:val="clear" w:color="auto" w:fill="D6E3BC"/>
          </w:tcPr>
          <w:p w14:paraId="18DE5480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245C6EAB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090E6A7E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09182B7C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7F48E100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29ECBC9B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/>
          </w:tcPr>
          <w:p w14:paraId="7A0C46AB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CB" w:rsidRPr="006869FB" w14:paraId="689F35B6" w14:textId="77777777" w:rsidTr="001F1AAF">
        <w:trPr>
          <w:trHeight w:val="233"/>
          <w:tblHeader/>
        </w:trPr>
        <w:tc>
          <w:tcPr>
            <w:tcW w:w="4230" w:type="dxa"/>
            <w:shd w:val="clear" w:color="auto" w:fill="D6E3BC"/>
            <w:vAlign w:val="center"/>
          </w:tcPr>
          <w:p w14:paraId="515D7609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B1. Governo</w:t>
            </w:r>
          </w:p>
        </w:tc>
        <w:tc>
          <w:tcPr>
            <w:tcW w:w="720" w:type="dxa"/>
            <w:shd w:val="clear" w:color="auto" w:fill="D6E3BC"/>
          </w:tcPr>
          <w:p w14:paraId="09860726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75CCE20B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5008A466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7697C62D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379AA67B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42F19985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/>
          </w:tcPr>
          <w:p w14:paraId="499B5F2E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CB" w:rsidRPr="006869FB" w14:paraId="10F3DB69" w14:textId="77777777" w:rsidTr="001F1AAF">
        <w:trPr>
          <w:trHeight w:val="233"/>
          <w:tblHeader/>
        </w:trPr>
        <w:tc>
          <w:tcPr>
            <w:tcW w:w="4230" w:type="dxa"/>
            <w:shd w:val="clear" w:color="auto" w:fill="D6E3BC"/>
            <w:vAlign w:val="center"/>
          </w:tcPr>
          <w:p w14:paraId="3EDC6454" w14:textId="05A0DF56" w:rsidR="00D54ECB" w:rsidRPr="006869FB" w:rsidRDefault="00D54ECB" w:rsidP="0020756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B2. Recursos externos</w:t>
            </w:r>
          </w:p>
        </w:tc>
        <w:tc>
          <w:tcPr>
            <w:tcW w:w="720" w:type="dxa"/>
            <w:shd w:val="clear" w:color="auto" w:fill="D6E3BC"/>
          </w:tcPr>
          <w:p w14:paraId="2801C2DC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669D2B51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3693A183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58A7E552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3C15669D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1C0E5720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/>
          </w:tcPr>
          <w:p w14:paraId="6D31220A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CB" w:rsidRPr="006869FB" w14:paraId="50D04B5E" w14:textId="77777777" w:rsidTr="001F1AAF">
        <w:trPr>
          <w:trHeight w:val="233"/>
          <w:tblHeader/>
        </w:trPr>
        <w:tc>
          <w:tcPr>
            <w:tcW w:w="4230" w:type="dxa"/>
            <w:shd w:val="clear" w:color="auto" w:fill="D6E3BC"/>
            <w:vAlign w:val="center"/>
          </w:tcPr>
          <w:p w14:paraId="763515B2" w14:textId="1C068672" w:rsidR="00D54ECB" w:rsidRPr="006869FB" w:rsidRDefault="00D54ECB" w:rsidP="0020756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B2.1. Fundo Global </w:t>
            </w:r>
          </w:p>
        </w:tc>
        <w:tc>
          <w:tcPr>
            <w:tcW w:w="720" w:type="dxa"/>
            <w:shd w:val="clear" w:color="auto" w:fill="D6E3BC"/>
          </w:tcPr>
          <w:p w14:paraId="6D8E4399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05C44131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5505AAF9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557CF8CF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3661FBAF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68014449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/>
          </w:tcPr>
          <w:p w14:paraId="13A58AF3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CB" w:rsidRPr="006869FB" w14:paraId="06C7DBC2" w14:textId="77777777" w:rsidTr="001F1AAF">
        <w:trPr>
          <w:trHeight w:val="233"/>
          <w:tblHeader/>
        </w:trPr>
        <w:tc>
          <w:tcPr>
            <w:tcW w:w="4230" w:type="dxa"/>
            <w:shd w:val="clear" w:color="auto" w:fill="D6E3BC"/>
            <w:vAlign w:val="center"/>
          </w:tcPr>
          <w:p w14:paraId="61E82CBD" w14:textId="4F344A54" w:rsidR="00D54ECB" w:rsidRPr="006869FB" w:rsidRDefault="00D54ECB" w:rsidP="0020756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B2.2. Outros parceiros (indique-os)</w:t>
            </w:r>
          </w:p>
        </w:tc>
        <w:tc>
          <w:tcPr>
            <w:tcW w:w="720" w:type="dxa"/>
            <w:shd w:val="clear" w:color="auto" w:fill="D6E3BC"/>
          </w:tcPr>
          <w:p w14:paraId="23093577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3354D1CD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58016875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4911392E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34CB6A09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7AAFAA51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/>
          </w:tcPr>
          <w:p w14:paraId="4025D778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CB" w:rsidRPr="006869FB" w14:paraId="7130E6E6" w14:textId="77777777" w:rsidTr="001F1AAF">
        <w:trPr>
          <w:trHeight w:val="233"/>
          <w:tblHeader/>
        </w:trPr>
        <w:tc>
          <w:tcPr>
            <w:tcW w:w="4230" w:type="dxa"/>
            <w:shd w:val="clear" w:color="auto" w:fill="D6E3BC"/>
            <w:vAlign w:val="center"/>
          </w:tcPr>
          <w:p w14:paraId="3C4647B1" w14:textId="207CA0A1" w:rsidR="00D54ECB" w:rsidRPr="006869FB" w:rsidRDefault="00D54ECB" w:rsidP="0020756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B2.3 3. Outros parceiros (indique-os)</w:t>
            </w:r>
          </w:p>
        </w:tc>
        <w:tc>
          <w:tcPr>
            <w:tcW w:w="720" w:type="dxa"/>
            <w:shd w:val="clear" w:color="auto" w:fill="D6E3BC"/>
          </w:tcPr>
          <w:p w14:paraId="6F391D33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7D222DCD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2344107A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0538EDAB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74026853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1B6922A1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/>
          </w:tcPr>
          <w:p w14:paraId="2B623250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CB" w:rsidRPr="006869FB" w14:paraId="6D863084" w14:textId="77777777" w:rsidTr="001F1AAF">
        <w:trPr>
          <w:trHeight w:val="233"/>
          <w:tblHeader/>
        </w:trPr>
        <w:tc>
          <w:tcPr>
            <w:tcW w:w="4230" w:type="dxa"/>
            <w:shd w:val="clear" w:color="auto" w:fill="D6E3BC"/>
            <w:vAlign w:val="center"/>
          </w:tcPr>
          <w:p w14:paraId="7C16FC76" w14:textId="7A32221D" w:rsidR="00D54ECB" w:rsidRPr="006869FB" w:rsidRDefault="005F2972" w:rsidP="0020756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Total de B </w:t>
            </w:r>
          </w:p>
        </w:tc>
        <w:tc>
          <w:tcPr>
            <w:tcW w:w="720" w:type="dxa"/>
            <w:shd w:val="clear" w:color="auto" w:fill="D6E3BC"/>
          </w:tcPr>
          <w:p w14:paraId="18E04543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6ECDE1B2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6B585901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375B7892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4B2D4098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2213F2F8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/>
          </w:tcPr>
          <w:p w14:paraId="725CCF36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ECB" w:rsidRPr="006869FB" w14:paraId="1C5B9F03" w14:textId="77777777" w:rsidTr="001F1AAF">
        <w:trPr>
          <w:trHeight w:val="233"/>
          <w:tblHeader/>
        </w:trPr>
        <w:tc>
          <w:tcPr>
            <w:tcW w:w="4230" w:type="dxa"/>
            <w:shd w:val="clear" w:color="auto" w:fill="D6E3BC"/>
            <w:vAlign w:val="center"/>
          </w:tcPr>
          <w:p w14:paraId="5000395B" w14:textId="2C7118D0" w:rsidR="00D54ECB" w:rsidRPr="006869FB" w:rsidRDefault="00D54ECB" w:rsidP="0020756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C: Lacuna total esperada na concretização das metas (= A – B) </w:t>
            </w:r>
          </w:p>
        </w:tc>
        <w:tc>
          <w:tcPr>
            <w:tcW w:w="720" w:type="dxa"/>
            <w:shd w:val="clear" w:color="auto" w:fill="D6E3BC"/>
          </w:tcPr>
          <w:p w14:paraId="33A52636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61B7AA66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5E110184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4D740576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770257E8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6E3BC"/>
          </w:tcPr>
          <w:p w14:paraId="2FF34988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6E3BC"/>
          </w:tcPr>
          <w:p w14:paraId="2358AFC3" w14:textId="77777777" w:rsidR="00D54ECB" w:rsidRPr="006869FB" w:rsidRDefault="00D54ECB" w:rsidP="002075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724838" w14:textId="18172999" w:rsidR="00FB3C97" w:rsidRPr="006869FB" w:rsidRDefault="00045A48" w:rsidP="0020756E">
      <w:pPr>
        <w:pStyle w:val="Default"/>
        <w:spacing w:before="120"/>
        <w:ind w:right="45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A análise de lacunas deve ser realizada para todas as intervenções e áreas de prestação de serviços principais identificadas no plano estratégico nacional. Os números do quadro de análise da lacuna programática estão relacionados com a dimensão dos grupos populacionais visados ​​pelas intervenções prioritárias e não com a necessidade financeira para as intervenções. A análise da lacuna financeira será efetuada como segunda etapa do processo.  </w:t>
      </w:r>
    </w:p>
    <w:p w14:paraId="35A4CAEA" w14:textId="76C05BDB" w:rsidR="00AF423C" w:rsidRPr="006869FB" w:rsidRDefault="00844AE3" w:rsidP="007A7518">
      <w:pPr>
        <w:pStyle w:val="Cabealho1"/>
        <w:spacing w:before="120"/>
      </w:pPr>
      <w:r>
        <w:t xml:space="preserve">Notas de orientação específicas para a análise de lacunas </w:t>
      </w:r>
    </w:p>
    <w:p w14:paraId="0E0954B8" w14:textId="283671B3" w:rsidR="00693AD1" w:rsidRPr="006869FB" w:rsidRDefault="001E2F1D" w:rsidP="0020756E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Análise de lacunas de MTI </w:t>
      </w:r>
    </w:p>
    <w:p w14:paraId="5E015B85" w14:textId="44AA0E41" w:rsidR="006A03A3" w:rsidRPr="007C67FD" w:rsidRDefault="00976035" w:rsidP="00A6629D">
      <w:pPr>
        <w:pStyle w:val="PargrafodaLista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Indique a população total.</w:t>
      </w:r>
    </w:p>
    <w:p w14:paraId="7290429B" w14:textId="7F56914F" w:rsidR="004960D1" w:rsidRPr="006869FB" w:rsidRDefault="007C67FD" w:rsidP="00A6629D">
      <w:pPr>
        <w:pStyle w:val="PargrafodaLista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Defina a população visada. Uma cobertura elevada e sustentada requer campanhas em massa periódicas e distribuição contínua de mosquiteiros. Deve ser privilegiada a distribuição de rotina de MTI através de clínicas pré-natais ou do programa alargado de vacinação </w:t>
      </w:r>
      <w:r w:rsidR="0014755C">
        <w:rPr>
          <w:rFonts w:ascii="Arial" w:hAnsi="Arial"/>
          <w:sz w:val="20"/>
        </w:rPr>
        <w:t>a fim de</w:t>
      </w:r>
      <w:r>
        <w:rPr>
          <w:rFonts w:ascii="Arial" w:hAnsi="Arial"/>
          <w:sz w:val="20"/>
        </w:rPr>
        <w:t xml:space="preserve"> assegurar o acesso sustentado a MTI para as populações biologicamente mais vulneráveis. </w:t>
      </w:r>
    </w:p>
    <w:p w14:paraId="1D5538A5" w14:textId="23749244" w:rsidR="0060054C" w:rsidRPr="006869FB" w:rsidRDefault="0060054C" w:rsidP="00A6629D">
      <w:pPr>
        <w:pStyle w:val="PargrafodaLista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Campanhas em massa</w:t>
      </w:r>
    </w:p>
    <w:p w14:paraId="3D8D2921" w14:textId="086ED806" w:rsidR="00693AD1" w:rsidRDefault="00693AD1" w:rsidP="00A6629D">
      <w:pPr>
        <w:pStyle w:val="PargrafodaLista"/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Defina a população que vive em áreas maláricas a visar nas campanhas. A população visada variará em função da epidemiologia, da priorização do PEN e do direcionamento planeado.  Indique os pressupostos da narrativa (por exemplo: o direcionamento não inclui as grandes áreas urbanas com carga muito baixa, mas inclui as populações de refugiados).</w:t>
      </w:r>
    </w:p>
    <w:p w14:paraId="1F620D9D" w14:textId="2ED79200" w:rsidR="00F001B6" w:rsidRPr="007C67FD" w:rsidRDefault="00F001B6" w:rsidP="00A6629D">
      <w:pPr>
        <w:pStyle w:val="PargrafodaLista"/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Inclua pormenores dos pressupostos se não estiver a usar a população projetada a partir do censo. Por exemplo: “Está a ser usado o registo da campanha anterior com um ajuste de -2% para levar em conta as insuficiências do registo em algumas áreas; a população ajustada da campanha anterior é projetada usando a taxa de crescimento populacional nacional de 3%.”</w:t>
      </w:r>
    </w:p>
    <w:p w14:paraId="293E0E13" w14:textId="2044D3DF" w:rsidR="00B34DA7" w:rsidRPr="006869FB" w:rsidRDefault="00B34DA7" w:rsidP="00A6629D">
      <w:pPr>
        <w:pStyle w:val="PargrafodaLista"/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Na maioria dos países, são realizadas campanhas a cada 3 anos. Os países que usam campanhas contínuas ou mais frequentes devem refletir a proporção da população a abranger em cada ano. Sempre que as campanhas forem propostas com maior frequência, inclua dados sobre a longevidade dos MTI (dados de monitorização da durabilidade) para justificar o espaçamento das campanhas.</w:t>
      </w:r>
    </w:p>
    <w:p w14:paraId="087B6EF2" w14:textId="42E1DE4D" w:rsidR="00827FD2" w:rsidRPr="006869FB" w:rsidRDefault="00693AD1" w:rsidP="00A6629D">
      <w:pPr>
        <w:pStyle w:val="PargrafodaLista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As estimativas das necessidades de mosquiteiros para campanhas baseiam-se no critério de um mosquiteiro para cada duas pessoas nas áreas com endemia de malária. Com base em experiências de toda a África e para levar em conta as pessoas que vivem em agregados familiares com um número ímpar de membros, a OMS e a Parceria RBM recomendam que aplique um </w:t>
      </w:r>
      <w:r>
        <w:rPr>
          <w:rFonts w:ascii="Arial" w:hAnsi="Arial"/>
          <w:sz w:val="20"/>
        </w:rPr>
        <w:lastRenderedPageBreak/>
        <w:t>cálculo da população-alvo (A) dividida por 1,8 (A/1,8).  Se os dados históricos mostrarem que deve ser usado um fator diferente, inclua uma justificação para o mesmo.</w:t>
      </w:r>
    </w:p>
    <w:p w14:paraId="1BA11E0C" w14:textId="77777777" w:rsidR="006A03A3" w:rsidRDefault="00827FD2" w:rsidP="00A6629D">
      <w:pPr>
        <w:pStyle w:val="PargrafodaLista"/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Para países onde o censo tenha mais de 5 anos, pondere incluir uma margem de segurança de 10% ou use dados de campanhas anteriores para justificar um valor de margem de segurança.  Lembre-se de incluir a data do censo e quaisquer pressupostos subjacentes. </w:t>
      </w:r>
    </w:p>
    <w:p w14:paraId="6B6FB09A" w14:textId="4C067AE5" w:rsidR="00693AD1" w:rsidRPr="006869FB" w:rsidRDefault="00BC20BC" w:rsidP="00A6629D">
      <w:pPr>
        <w:pStyle w:val="PargrafodaLista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Distribuição contínua</w:t>
      </w:r>
    </w:p>
    <w:p w14:paraId="6D6BA9BA" w14:textId="228CB6D5" w:rsidR="00693AD1" w:rsidRPr="006869FB" w:rsidRDefault="00693AD1" w:rsidP="00A6629D">
      <w:pPr>
        <w:pStyle w:val="PargrafodaLista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 OMS e a Parceria RBM recomendam que também sejam distribuídos mosquiteiros através de canais de distribuição contínua para manter a cobertura entre campanhas, incluindo escolas, unidades de saúde (distribuição a mulheres grávidas através dos CPN na primeira consulta e a bebês por meio do PAV de rotina, geralmente em conjunto com a vacina DPT3 ou do sarampo), comunidades (através de agentes de saúde comunitária) e outros a fim de assegurar o acesso a MTI para grupos populacionais específicos, como PDI e refugiados.</w:t>
      </w:r>
    </w:p>
    <w:p w14:paraId="48111318" w14:textId="3AB8949C" w:rsidR="00F627F7" w:rsidRDefault="00066CD9" w:rsidP="00A6629D">
      <w:pPr>
        <w:pStyle w:val="PargrafodaLista"/>
        <w:numPr>
          <w:ilvl w:val="0"/>
          <w:numId w:val="1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Para distribuição escolar em plena escala (em vez de campanhas em massa), a necessidade anual de MTI pode ser quantificada usando 15%-22% da população (com recomendações mais pormenorizadas para países específicos disponíveis </w:t>
      </w:r>
      <w:hyperlink r:id="rId10" w:tooltip="Original URL: https://htmlpreview.github.io/?https://github.com/hkoenker/Quantification/blob/master/output/Scenario_2_and_3_Quantifiers_Table_Full_Version.html  Click to follow link." w:history="1">
        <w:r>
          <w:rPr>
            <w:rFonts w:ascii="Arial" w:hAnsi="Arial"/>
            <w:color w:val="0070C0"/>
            <w:sz w:val="20"/>
          </w:rPr>
          <w:t>aqui</w:t>
        </w:r>
      </w:hyperlink>
      <w:r>
        <w:rPr>
          <w:rFonts w:ascii="Arial" w:hAnsi="Arial"/>
          <w:sz w:val="20"/>
        </w:rPr>
        <w:t>, na secção do Cenário 2). Para distribuição escolar entre campanhas, estão disponíveis recomendações de quantificação na</w:t>
      </w:r>
      <w:r>
        <w:rPr>
          <w:rFonts w:ascii="Arial" w:hAnsi="Arial"/>
          <w:color w:val="0070C0"/>
          <w:sz w:val="20"/>
        </w:rPr>
        <w:t> </w:t>
      </w:r>
      <w:hyperlink r:id="rId11" w:tooltip="Original URL: https://htmlpreview.github.io/?https://github.com/hkoenker/Quantification/blob/master/output/Scenario_2_and_3_Quantifiers_Table_Full_Version.html  Click to follow link." w:history="1">
        <w:r>
          <w:rPr>
            <w:rFonts w:ascii="Arial" w:hAnsi="Arial"/>
            <w:color w:val="0070C0"/>
            <w:sz w:val="20"/>
          </w:rPr>
          <w:t>mesma ligação acima</w:t>
        </w:r>
      </w:hyperlink>
      <w:r>
        <w:rPr>
          <w:rFonts w:ascii="Arial" w:hAnsi="Arial"/>
          <w:sz w:val="20"/>
        </w:rPr>
        <w:t xml:space="preserve">, na secção do Cenário 3. O número de MTI resultante deve depois ser comparado com a população do ensino primário e o número de alunos matriculados nas várias classes, usando dados de matrículas do Ministério da Educação. Selecione o número de classes que melhor corresponda ao número de MTI a distribuir nas escolas. Dado que as taxas de matrícula podem variar no país, é possível que algumas regiões precisem de usar mais classes para a distribuição de MTI do que outras. Se não estiverem disponíveis informações de matrículas atualizadas a tempo do processo de planeamento, podem ser usados ​​dados de matrículas do ano anterior como melhor estimativa. Em tal caso, pode ser entregue a cada escola uma pequena reserva de segurança de MTI (~2% ou um cálculo baseado nas flutuações de matrículas em anos anteriores) para assegurar que todos os alunos das classes visadas recebam um MTI. </w:t>
      </w:r>
    </w:p>
    <w:p w14:paraId="7CB9DF9E" w14:textId="4CC09E81" w:rsidR="00306124" w:rsidRPr="00C7132D" w:rsidRDefault="00306124" w:rsidP="00C7132D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Nota: certifique-se de que todos os pressupostos para a distribuição baseada nas escolas estejam bem descritos na secção de pressupostos do quadro de análise da lacuna, incluindo a escolha das classes, a frequência e o tipo de MTI. </w:t>
      </w:r>
    </w:p>
    <w:p w14:paraId="45BCB5A4" w14:textId="0335F216" w:rsidR="00D824DF" w:rsidRDefault="009979D8" w:rsidP="009979D8">
      <w:pPr>
        <w:pStyle w:val="PargrafodaLista"/>
        <w:numPr>
          <w:ilvl w:val="0"/>
          <w:numId w:val="16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Se o país estiver a usar outros canais, como a distribuição baseada nas comunidades, a necessidade total anual de MTI de distribuição contínua (através de qualquer canal não-CPN/PAV) também pode ser quantificada usando 15%-22% da população (com recomendações mais pormenorizadas para países específicos disponíveis </w:t>
      </w:r>
      <w:hyperlink r:id="rId12" w:tooltip="Original URL: https://htmlpreview.github.io/?https://github.com/hkoenker/Quantification/blob/master/output/Scenario_2_and_3_Quantifiers_Table_Full_Version.html  Click to follow link." w:history="1">
        <w:r>
          <w:rPr>
            <w:rFonts w:ascii="Arial" w:hAnsi="Arial"/>
            <w:color w:val="0070C0"/>
            <w:sz w:val="20"/>
          </w:rPr>
          <w:t>aqui</w:t>
        </w:r>
      </w:hyperlink>
      <w:r>
        <w:rPr>
          <w:rFonts w:ascii="Arial" w:hAnsi="Arial"/>
          <w:sz w:val="20"/>
        </w:rPr>
        <w:t>, na secção do Cenário 2). Para distribuição comunitária entre campanhas, estão disponíveis recomendações de quantificação na</w:t>
      </w:r>
      <w:r>
        <w:rPr>
          <w:rFonts w:ascii="Arial" w:hAnsi="Arial"/>
          <w:color w:val="0070C0"/>
          <w:sz w:val="20"/>
        </w:rPr>
        <w:t> </w:t>
      </w:r>
      <w:hyperlink r:id="rId13" w:tooltip="Original URL: https://htmlpreview.github.io/?https://github.com/hkoenker/Quantification/blob/master/output/Scenario_2_and_3_Quantifiers_Table_Full_Version.html  Click to follow link." w:history="1">
        <w:r>
          <w:rPr>
            <w:rFonts w:ascii="Arial" w:hAnsi="Arial"/>
            <w:color w:val="0070C0"/>
            <w:sz w:val="20"/>
          </w:rPr>
          <w:t>mesma ligação acima</w:t>
        </w:r>
      </w:hyperlink>
      <w:r>
        <w:rPr>
          <w:rFonts w:ascii="Arial" w:hAnsi="Arial"/>
          <w:sz w:val="20"/>
        </w:rPr>
        <w:t xml:space="preserve">, na secção do Cenário 3. Se implementar canais escolares e comunitários no mesmo lugar, quantifique apenas uma vez; ou seja, multiplique a população por 22% e divida os mosquiteiros entre os canais. </w:t>
      </w:r>
    </w:p>
    <w:p w14:paraId="2554018A" w14:textId="77777777" w:rsidR="00306124" w:rsidRDefault="00306124" w:rsidP="00306124">
      <w:pPr>
        <w:pStyle w:val="PargrafodaLista"/>
        <w:spacing w:before="120"/>
        <w:jc w:val="both"/>
        <w:rPr>
          <w:rFonts w:ascii="Arial" w:hAnsi="Arial" w:cs="Arial"/>
          <w:sz w:val="20"/>
          <w:szCs w:val="20"/>
        </w:rPr>
      </w:pPr>
    </w:p>
    <w:p w14:paraId="4794DB88" w14:textId="18F5B364" w:rsidR="00306124" w:rsidRDefault="00306124" w:rsidP="00306124">
      <w:pPr>
        <w:pStyle w:val="PargrafodaLista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Nota: certifique-se de que todos os pressupostos para a distribuição baseada nas comunidades estejam bem descritos na secção de pressupostos do quadro de análise da lacuna, incluindo quem assegurará a distribuição, a frequência e o tipo de MTI. </w:t>
      </w:r>
    </w:p>
    <w:p w14:paraId="7B7094A0" w14:textId="77777777" w:rsidR="00306124" w:rsidRPr="00C7132D" w:rsidRDefault="00306124" w:rsidP="00C7132D">
      <w:pPr>
        <w:pStyle w:val="PargrafodaLista"/>
        <w:spacing w:before="120"/>
        <w:jc w:val="both"/>
        <w:rPr>
          <w:rFonts w:ascii="Arial" w:hAnsi="Arial" w:cs="Arial"/>
          <w:sz w:val="20"/>
          <w:szCs w:val="20"/>
        </w:rPr>
      </w:pPr>
    </w:p>
    <w:p w14:paraId="5C3A11BB" w14:textId="5480A920" w:rsidR="009979D8" w:rsidRPr="00D824DF" w:rsidRDefault="009979D8" w:rsidP="00C7132D">
      <w:pPr>
        <w:pStyle w:val="PargrafodaLista"/>
        <w:numPr>
          <w:ilvl w:val="0"/>
          <w:numId w:val="16"/>
        </w:numPr>
        <w:spacing w:before="120"/>
        <w:jc w:val="both"/>
        <w:rPr>
          <w:rFonts w:eastAsiaTheme="minorHAnsi"/>
        </w:rPr>
      </w:pPr>
      <w:r>
        <w:rPr>
          <w:rFonts w:ascii="Arial" w:hAnsi="Arial"/>
          <w:sz w:val="20"/>
        </w:rPr>
        <w:t xml:space="preserve">Se propuser canais específicos destinados a PDI e refugiados, estes também devem ser incluídos e quantificados na análise de lacunas e o CRSPC pode facultar orientação se necessário. </w:t>
      </w:r>
    </w:p>
    <w:p w14:paraId="4170E4D6" w14:textId="577AB1C1" w:rsidR="004206B4" w:rsidRPr="006869FB" w:rsidRDefault="00693AD1" w:rsidP="00A6629D">
      <w:pPr>
        <w:pStyle w:val="PargrafodaLista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Para calcular o número de mosquiteiros necessários via CPN, multiplique a população que vive em áreas com endemia de malária pela percentagem de mulheres grávidas na população (habitualmente, cerca de 4-5%). Fatorize a cobertura de CPN existente, com aumentos ao longo do tempo baseados nas melhorias planeadas no acesso aos cuidados, bem como no aumento da população.  </w:t>
      </w:r>
    </w:p>
    <w:p w14:paraId="519061C0" w14:textId="02051E91" w:rsidR="004206B4" w:rsidRPr="006869FB" w:rsidRDefault="006C0B72" w:rsidP="00A6629D">
      <w:pPr>
        <w:pStyle w:val="PargrafodaLista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Para calcular o número de mosquiteiros necessários via PAV, multiplique a população que vive em áreas com endemia de malária pela percentagem de crianças com menos de 1 ano na população (habitualmente, cerca de 4%). Fatorize a cobertura de PAV existente, com aumentos ao longo do tempo baseados nas melhorias planeadas no acesso aos cuidados, bem como no aumento da população. Se estiver a visar crianças com menos de 5 anos por meio de clínicas de </w:t>
      </w:r>
      <w:r>
        <w:rPr>
          <w:rFonts w:ascii="Arial" w:hAnsi="Arial"/>
          <w:sz w:val="20"/>
        </w:rPr>
        <w:lastRenderedPageBreak/>
        <w:t xml:space="preserve">saúde infantil, em vez de crianças com menos de 1 ano por meio de PAV, modifique conforme adequado. </w:t>
      </w:r>
    </w:p>
    <w:p w14:paraId="23B9B188" w14:textId="6235775A" w:rsidR="0083524E" w:rsidRPr="000E4D49" w:rsidRDefault="004206B4" w:rsidP="00A6629D">
      <w:pPr>
        <w:pStyle w:val="PargrafodaLista"/>
        <w:numPr>
          <w:ilvl w:val="0"/>
          <w:numId w:val="12"/>
        </w:numPr>
        <w:spacing w:before="120"/>
        <w:jc w:val="both"/>
      </w:pPr>
      <w:r>
        <w:rPr>
          <w:rFonts w:ascii="Arial" w:hAnsi="Arial"/>
          <w:sz w:val="20"/>
        </w:rPr>
        <w:t xml:space="preserve">A soma dos MTI necessários para PAV, para CPN e, onde aplicável, para distribuição baseada nas escolas, distribuição baseada nas comunidades ou canais para chegar a PDI, refugiados, etc., dá o número total de mosquiteiros planeados para distribuição através de sistemas de distribuição contínua. </w:t>
      </w:r>
    </w:p>
    <w:p w14:paraId="1121CD34" w14:textId="77777777" w:rsidR="002C5BAD" w:rsidRDefault="002C5BAD" w:rsidP="0083524E">
      <w:pPr>
        <w:pStyle w:val="PargrafodaLista"/>
        <w:spacing w:before="120"/>
        <w:jc w:val="both"/>
        <w:rPr>
          <w:rFonts w:ascii="Arial" w:hAnsi="Arial" w:cs="Arial"/>
          <w:sz w:val="20"/>
          <w:szCs w:val="20"/>
        </w:rPr>
      </w:pPr>
    </w:p>
    <w:p w14:paraId="0BD715BD" w14:textId="7E267BAE" w:rsidR="008C2327" w:rsidRDefault="00AF59D3" w:rsidP="00A6629D">
      <w:pPr>
        <w:pStyle w:val="PargrafodaLista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Número total de mosquiteiros necessários. O número total de MTI necessários é calculado somando os mosquiteiros de campanhas (geralmente uma vez a cada 3 anos, a menos que o país tenha adotado um programa de campanhas contínuas) e os mosquiteiros contínuos em todos os anos.</w:t>
      </w:r>
    </w:p>
    <w:p w14:paraId="4DD11CE5" w14:textId="2563B228" w:rsidR="00693AD1" w:rsidRPr="00002729" w:rsidRDefault="00002729" w:rsidP="00A6629D">
      <w:pPr>
        <w:pStyle w:val="PargrafodaLista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Calcule o número de mosquiteiros já financiados. As necessidades de MTI que se planeia satisfazer no âmbito de outros programas (recursos internos, parceiros que não o Fundo Global) são somadas para mostrar o que está presentemente financiado ou o que se espera financiar. </w:t>
      </w:r>
    </w:p>
    <w:p w14:paraId="3E132550" w14:textId="77777777" w:rsidR="00F94596" w:rsidRDefault="00693AD1" w:rsidP="00A6629D">
      <w:pPr>
        <w:pStyle w:val="PargrafodaLista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 lacuna anual esperada na concretização das metas é calculada a partir do número de mosquiteiros necessários deduzido do número de mosquiteiros financiados. </w:t>
      </w:r>
    </w:p>
    <w:p w14:paraId="7B478AEF" w14:textId="2DE32469" w:rsidR="006411C4" w:rsidRDefault="006411C4" w:rsidP="00A6629D">
      <w:pPr>
        <w:pStyle w:val="PargrafodaLista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Insira o número de mosquiteiros a financiar através da subvenção do Fundo Global. </w:t>
      </w:r>
    </w:p>
    <w:p w14:paraId="6A4E5574" w14:textId="5D73624B" w:rsidR="00693AD1" w:rsidRDefault="001752B5" w:rsidP="00A6629D">
      <w:pPr>
        <w:pStyle w:val="PargrafodaLista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Para o FG, considere incluir qualquer lacuna de MTI no Pedido Acima da Alocação Priorizado (PAAP). Destaque também as lacunas de MTI para outros doadores. </w:t>
      </w:r>
    </w:p>
    <w:p w14:paraId="0B3C6383" w14:textId="6183D418" w:rsidR="0005321A" w:rsidRPr="00461CB6" w:rsidRDefault="000B3F6D" w:rsidP="00A6629D">
      <w:pPr>
        <w:pStyle w:val="PargrafodaLista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Calcule o número total de mosquiteiros financiados. </w:t>
      </w:r>
    </w:p>
    <w:p w14:paraId="6969C6A9" w14:textId="5084C59B" w:rsidR="000B3F6D" w:rsidRDefault="00652048" w:rsidP="00A6629D">
      <w:pPr>
        <w:pStyle w:val="PargrafodaLista"/>
        <w:numPr>
          <w:ilvl w:val="0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Realce a lacuna pendente.</w:t>
      </w:r>
    </w:p>
    <w:p w14:paraId="2B03ECD7" w14:textId="4D4713A6" w:rsidR="000B3F6D" w:rsidRDefault="000B3F6D" w:rsidP="004204FF">
      <w:pPr>
        <w:pStyle w:val="PargrafodaLista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14:paraId="3AC99F1F" w14:textId="7C4E20E7" w:rsidR="004204FF" w:rsidRPr="004204FF" w:rsidRDefault="004204FF" w:rsidP="0002780D">
      <w:pPr>
        <w:pStyle w:val="PargrafodaLista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Tipos de MTI</w:t>
      </w:r>
    </w:p>
    <w:p w14:paraId="35738BDC" w14:textId="685A9BD1" w:rsidR="009E7B44" w:rsidRPr="006869FB" w:rsidRDefault="009E7B44" w:rsidP="0002780D">
      <w:pPr>
        <w:pStyle w:val="PargrafodaLista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</w:rPr>
        <w:t>MTI BOP:</w:t>
      </w:r>
      <w:r>
        <w:rPr>
          <w:rFonts w:ascii="Arial" w:hAnsi="Arial"/>
          <w:sz w:val="20"/>
        </w:rPr>
        <w:t xml:space="preserve"> do número total de MTI, insira o número de BOP necessários com base nos dados sobre resistência e na adaptação subnacional. Indique o número de BOP já financiados e destaque o número de MTI BOP a financiar através da alocação do FG. </w:t>
      </w:r>
    </w:p>
    <w:p w14:paraId="68A2EF5E" w14:textId="77777777" w:rsidR="00830A78" w:rsidRDefault="00830A78" w:rsidP="0002780D">
      <w:pPr>
        <w:pStyle w:val="PargrafodaLista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p w14:paraId="6AD9ACF4" w14:textId="3DF14F4E" w:rsidR="00F8570E" w:rsidRDefault="00652048" w:rsidP="0002780D">
      <w:pPr>
        <w:pStyle w:val="PargrafodaLista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</w:rPr>
        <w:t>MTI de ingrediente ativo duplo:</w:t>
      </w:r>
      <w:r>
        <w:rPr>
          <w:rFonts w:ascii="Arial" w:hAnsi="Arial"/>
          <w:sz w:val="20"/>
        </w:rPr>
        <w:t xml:space="preserve"> do número total de MTI, insira o número de MTI de ingrediente ativo (IA) duplo necessários com base nos dados sobre resistência e na adaptação subnacional. Indique o número de mosquiteiros de IA duplo já financiados e destaque o número de MTI de IA duplo a financiar através da alocação do FG. </w:t>
      </w:r>
    </w:p>
    <w:p w14:paraId="55F706C1" w14:textId="77777777" w:rsidR="00F8570E" w:rsidRDefault="00F8570E" w:rsidP="0002780D">
      <w:pPr>
        <w:pStyle w:val="PargrafodaLista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p w14:paraId="4D96A550" w14:textId="17BA7A51" w:rsidR="00652048" w:rsidRPr="006869FB" w:rsidRDefault="000B2654" w:rsidP="0002780D">
      <w:pPr>
        <w:pStyle w:val="PargrafodaLista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Indique quaisquer lacunas pendentes e considere incluí-las no PAAP. Indique se as lacunas correspondem ao custo total dos MTI BOP/IA duplo ou à diferença de custo entre esses MTI e os MTI apenas com piretroides. </w:t>
      </w:r>
    </w:p>
    <w:p w14:paraId="0904A6FD" w14:textId="7E5836BA" w:rsidR="00C06C17" w:rsidRPr="006869FB" w:rsidRDefault="00C06C17" w:rsidP="0020756E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Análise de lacunas de PRI </w:t>
      </w:r>
    </w:p>
    <w:p w14:paraId="03AF776B" w14:textId="0591AA69" w:rsidR="00C06C17" w:rsidRPr="00907362" w:rsidRDefault="00C06C17" w:rsidP="009073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Defina o objetivo da PRI no âmbito das metas do programa nacional da malária:</w:t>
      </w:r>
    </w:p>
    <w:p w14:paraId="7D84EB6E" w14:textId="196D77A0" w:rsidR="00C06C17" w:rsidRPr="006869FB" w:rsidRDefault="00C06C17" w:rsidP="00A6629D">
      <w:pPr>
        <w:pStyle w:val="Default"/>
        <w:numPr>
          <w:ilvl w:val="0"/>
          <w:numId w:val="9"/>
        </w:numPr>
        <w:ind w:right="4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Reduzir a transmissão em áreas com endemia elevada de malária; </w:t>
      </w:r>
    </w:p>
    <w:p w14:paraId="6F48D790" w14:textId="77777777" w:rsidR="00C06C17" w:rsidRPr="006869FB" w:rsidRDefault="00C06C17" w:rsidP="00A6629D">
      <w:pPr>
        <w:pStyle w:val="Default"/>
        <w:numPr>
          <w:ilvl w:val="0"/>
          <w:numId w:val="9"/>
        </w:numPr>
        <w:ind w:right="4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Prevenir epidemias em áreas de transmissão moderada e baixa;</w:t>
      </w:r>
    </w:p>
    <w:p w14:paraId="5882B236" w14:textId="77777777" w:rsidR="00C06C17" w:rsidRPr="006869FB" w:rsidRDefault="00C06C17" w:rsidP="00A6629D">
      <w:pPr>
        <w:pStyle w:val="Default"/>
        <w:numPr>
          <w:ilvl w:val="0"/>
          <w:numId w:val="9"/>
        </w:numPr>
        <w:ind w:right="4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Eliminar a malária a partir dos focos de transmissão;   </w:t>
      </w:r>
    </w:p>
    <w:p w14:paraId="28FBA80C" w14:textId="77777777" w:rsidR="00C06C17" w:rsidRPr="006869FB" w:rsidRDefault="00C06C17" w:rsidP="00A6629D">
      <w:pPr>
        <w:pStyle w:val="Default"/>
        <w:numPr>
          <w:ilvl w:val="0"/>
          <w:numId w:val="9"/>
        </w:numPr>
        <w:ind w:right="4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Dar resposta à resistência a inseticidas.</w:t>
      </w:r>
    </w:p>
    <w:p w14:paraId="0FCA44D2" w14:textId="77777777" w:rsidR="00336E53" w:rsidRDefault="00336E53" w:rsidP="00A6629D">
      <w:pPr>
        <w:pStyle w:val="Default"/>
        <w:numPr>
          <w:ilvl w:val="0"/>
          <w:numId w:val="14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Indique a população total.</w:t>
      </w:r>
    </w:p>
    <w:p w14:paraId="62EB50B0" w14:textId="2EF6BE81" w:rsidR="009E680E" w:rsidRDefault="00B464FB" w:rsidP="00A6629D">
      <w:pPr>
        <w:pStyle w:val="Default"/>
        <w:numPr>
          <w:ilvl w:val="0"/>
          <w:numId w:val="14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Defina a população visada para a PRI. </w:t>
      </w:r>
    </w:p>
    <w:p w14:paraId="3D047D3F" w14:textId="333A696D" w:rsidR="00705A72" w:rsidRDefault="00C06C17" w:rsidP="00A6629D">
      <w:pPr>
        <w:pStyle w:val="Default"/>
        <w:numPr>
          <w:ilvl w:val="1"/>
          <w:numId w:val="14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Com base na necessidade e nos objetivos do programa, a estratégia de PRI pode ser a cobertura universal de todos os distritos e populações com risco de malária ou a cobertura selecionada e direcionada de alguns distritos ou subdistritos. A dimensão da população aumentará anualmente com base nas taxas de crescimento da população.</w:t>
      </w:r>
    </w:p>
    <w:p w14:paraId="36681EFD" w14:textId="47A7244D" w:rsidR="00C06C17" w:rsidRPr="00705A72" w:rsidRDefault="00C06C17" w:rsidP="00A6629D">
      <w:pPr>
        <w:pStyle w:val="Default"/>
        <w:numPr>
          <w:ilvl w:val="0"/>
          <w:numId w:val="15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Defina o número de domicílios nas áreas visadas pela PRI. As habitações tradicionais e urbanas variam quanto às dimensões, às superfícies e ao tipo adequado de inseticida a usar.  </w:t>
      </w:r>
    </w:p>
    <w:p w14:paraId="0DC27675" w14:textId="46ED8FA8" w:rsidR="00C06C17" w:rsidRPr="00307774" w:rsidRDefault="00C06C17" w:rsidP="00A6629D">
      <w:pPr>
        <w:pStyle w:val="Default"/>
        <w:numPr>
          <w:ilvl w:val="0"/>
          <w:numId w:val="15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Quantifique a área média de superfície pulverizável (m</w:t>
      </w: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 xml:space="preserve">) das estruturas e o número de estruturas nas áreas visadas. </w:t>
      </w:r>
    </w:p>
    <w:p w14:paraId="3237182B" w14:textId="3FD56E3F" w:rsidR="00C06C17" w:rsidRPr="00307774" w:rsidRDefault="00C06C17" w:rsidP="00A6629D">
      <w:pPr>
        <w:pStyle w:val="Default"/>
        <w:numPr>
          <w:ilvl w:val="0"/>
          <w:numId w:val="15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lastRenderedPageBreak/>
        <w:t>Defina o número de ciclos de PRI por ano. O pressuposto depende da transmissão da malária e da duração da ação eficaz do inseticida. Em áreas de transmissão sazonal da malária, é suficiente uma ronda de pulverização, mas em áreas com estações de transmissão superiores a 8 meses ou dois picos sazonais, pode ser necessária mais de uma ronda de pulverização.</w:t>
      </w:r>
    </w:p>
    <w:p w14:paraId="571D12C1" w14:textId="462B7248" w:rsidR="00C06C17" w:rsidRPr="00307774" w:rsidRDefault="00C06C17" w:rsidP="00A6629D">
      <w:pPr>
        <w:pStyle w:val="Default"/>
        <w:numPr>
          <w:ilvl w:val="0"/>
          <w:numId w:val="15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Uma vez determinados os distritos e populações visados para proteção, as estruturas a pulverizar e o número de ciclos por ano, estão disponíveis orientação e ferramentas para calcular os recursos humanos e financeiros necessários para inseticida, equipamento, pessoal, custos operacionais, gestão de resíduos, monitorização e avaliação, etc. Consulte o manual operacional da OMS sobre Pulverização Residual Intradomiciliária (https://www.who.int/publications/i/item/9789241508940)</w:t>
      </w:r>
    </w:p>
    <w:p w14:paraId="6CC5E6A5" w14:textId="63C67978" w:rsidR="00C06C17" w:rsidRPr="000E33E2" w:rsidRDefault="00C06C17" w:rsidP="00A6629D">
      <w:pPr>
        <w:pStyle w:val="Default"/>
        <w:numPr>
          <w:ilvl w:val="0"/>
          <w:numId w:val="15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Quantifique as necessidades de químicos para PRI em relação a cada ano do plano de implementação. Tal é calculado com base no número total de domicílios e na área total de superfície pulverizável. Baseia-se também no tipo de inseticida usado, na concentração da dosagem de ingredientes ativos necessária por metro quadrado e no número de saquetas/frascos necessários por domicílio. Leia as diretrizes do fabricante do inseticida e os rótulos do produto para orientação mais específica. Os custos devem incluir o transporte, o armazenamento e a eliminação. </w:t>
      </w:r>
    </w:p>
    <w:p w14:paraId="3C9BDE36" w14:textId="502EEB53" w:rsidR="00C06C17" w:rsidRPr="00B5077D" w:rsidRDefault="001C677A" w:rsidP="00A6629D">
      <w:pPr>
        <w:pStyle w:val="Default"/>
        <w:numPr>
          <w:ilvl w:val="0"/>
          <w:numId w:val="15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Quantifique as necessidades de bombas de compressão manual para PRI e conjuntos de reparação para cada ano do plano de implementação. Tal é calculado com base na existência de bombas de pulverização funcionais e das que precisam de reparação, bem como no número esperado de equipas de pulverização a empregar. Estão disponíveis conjuntos de peças sobresselentes normalizados dos fabricantes para 4, 6, 8 ou 10 equipas operacionais de PRI. </w:t>
      </w:r>
    </w:p>
    <w:p w14:paraId="1658940B" w14:textId="24960707" w:rsidR="00C06C17" w:rsidRPr="00B5077D" w:rsidRDefault="00C06C17" w:rsidP="00A6629D">
      <w:pPr>
        <w:pStyle w:val="Default"/>
        <w:numPr>
          <w:ilvl w:val="0"/>
          <w:numId w:val="15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Quantifique as necessidades de conjuntos de equipamento de proteção para PRI em relação a cada ano do plano de implementação. Tal é calculado com base na existência de conjuntos de equipamento de proteção por operador de pulverização e no número esperado de operadores de pulverização a empregar.</w:t>
      </w:r>
    </w:p>
    <w:p w14:paraId="657EC952" w14:textId="2A9870C9" w:rsidR="00C06C17" w:rsidRPr="00B5077D" w:rsidRDefault="00C06C17" w:rsidP="00A6629D">
      <w:pPr>
        <w:pStyle w:val="Default"/>
        <w:numPr>
          <w:ilvl w:val="0"/>
          <w:numId w:val="15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Quantifique os custos operacionais e administrativos da campanha anual de pulverização. Tal incluirá todos os custos com pessoal, como os salários dos operadores de pulverização e as ajudas de custo dos supervisores, transporte (compra/aluguer de viaturas, manutenção e combustível) e custos de arrendamento, segurança e renovação de armazéns, áreas de preparação e áreas de lavagem, bem como os requisitos de gestão de resíduos conexos.</w:t>
      </w:r>
    </w:p>
    <w:p w14:paraId="6A0B08E0" w14:textId="63259DB1" w:rsidR="00C06C17" w:rsidRPr="00B05861" w:rsidRDefault="00C06C17" w:rsidP="00A6629D">
      <w:pPr>
        <w:pStyle w:val="Default"/>
        <w:numPr>
          <w:ilvl w:val="0"/>
          <w:numId w:val="15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Quantifique os custos anuais com formação em cascata e supervisão. Tal baseia-se num curso de formação nacional anual para formação de formadores, num curso de formação provincial para supervisores e em cursos de formação distritais para operadores de PRI. A supervisão inclui a supervisão mensal de todas as equipas de pulverização por supervisores distritais e a visita de supervisores provinciais e nacionais a todos os distritos pelo menos uma vez em cada ciclo de pulverização. Tal incluirá viagens e ajudas de custo de facilitadores e supervisores, materiais, alimentação, arrendamento de instalações, etc.</w:t>
      </w:r>
    </w:p>
    <w:p w14:paraId="64E64D1A" w14:textId="351F80E5" w:rsidR="00C06C17" w:rsidRPr="006869FB" w:rsidRDefault="00C06C17" w:rsidP="00A6629D">
      <w:pPr>
        <w:pStyle w:val="Default"/>
        <w:numPr>
          <w:ilvl w:val="0"/>
          <w:numId w:val="15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A mobilização das comunidades inclui os recursos humanos e financeiros necessários para reuniões comunitárias preparatórias, campanhas informativas e mobilizadores comunitários porta a porta para acompanhar as equipas de pulverização na preparação das habitações.</w:t>
      </w:r>
    </w:p>
    <w:p w14:paraId="79E839E1" w14:textId="7AB70C62" w:rsidR="00C06C17" w:rsidRPr="00941864" w:rsidRDefault="00C06C17" w:rsidP="00A6629D">
      <w:pPr>
        <w:pStyle w:val="Default"/>
        <w:numPr>
          <w:ilvl w:val="0"/>
          <w:numId w:val="15"/>
        </w:numPr>
        <w:spacing w:before="120"/>
        <w:ind w:right="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Custos com monitorização e relato da PRI. Elaboração de relatórios de pulverização diários, mensais e anuais sobre habitações pulverizadas, população abrangida, inseticidas usados e em existência, bombas pulverizadoras em existência e em necessidade de reparação, equipamento de proteção em existência, transporte utilizado, financiamento atribuído e usado, etc. Garantia de qualidade da pulverização (monitorização da durabilidade, etc.) em vários locais de pulverização durante e após a campanha. Os locais-sentinela de vetores devem ser no número mínimo de um local por milhão de habitantes e estar representativamente situados em diferentes áreas ecoepidemiológicas de transmissão. Devem ser realizados bioensaios anuais após cada ciclo de pulverização. Deve ser efetuada testagem anual de suscetibilidade a inseticidas antes de cada ciclo de pulverização.  </w:t>
      </w:r>
    </w:p>
    <w:p w14:paraId="7FE7636D" w14:textId="51335415" w:rsidR="00C06C17" w:rsidRDefault="0083728E" w:rsidP="00A6629D">
      <w:pPr>
        <w:pStyle w:val="PargrafodaLista"/>
        <w:numPr>
          <w:ilvl w:val="0"/>
          <w:numId w:val="14"/>
        </w:numPr>
        <w:spacing w:before="120"/>
        <w:ind w:right="4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Determine que financiamento e apoio serão afetos por meio de recursos internos e de parceiros e que lacuna persiste. Avalie os produtos, a logística, os recursos humanos e as atividades já abrangidos pelos sistemas e recursos nacionais existentes. Avalie o que está disponível para prestação de serviços de PRI no programa nacional e no sistema de saúde.  Reúna-se com parceiros e partes interessadas para avaliar o nível dos respetivos contributos específicos planeados para prestação de serviços de PRI. </w:t>
      </w:r>
    </w:p>
    <w:p w14:paraId="6B9A18A3" w14:textId="0D49B5BB" w:rsidR="00C06C17" w:rsidRPr="006869FB" w:rsidRDefault="0083728E" w:rsidP="00A6629D">
      <w:pPr>
        <w:pStyle w:val="PargrafodaLista"/>
        <w:numPr>
          <w:ilvl w:val="0"/>
          <w:numId w:val="14"/>
        </w:numPr>
        <w:spacing w:before="120"/>
        <w:ind w:right="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Estime as lacunas anuais esperadas que ainda têm de ser cobertas para produtos, logística, recursos humanos e atividades.</w:t>
      </w:r>
    </w:p>
    <w:p w14:paraId="6BA3BBA1" w14:textId="07406D08" w:rsidR="00121503" w:rsidRDefault="00C06C17" w:rsidP="00A6629D">
      <w:pPr>
        <w:pStyle w:val="PargrafodaLista"/>
        <w:numPr>
          <w:ilvl w:val="0"/>
          <w:numId w:val="1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Especifique o que será financiado por meio da alocação do FG para a malária e considere incluir as lacunas pendentes no Pedido Acima da Alocação Priorizado do FG.</w:t>
      </w:r>
    </w:p>
    <w:p w14:paraId="29DDF68E" w14:textId="7B6C7DF2" w:rsidR="00C06C17" w:rsidRPr="006869FB" w:rsidRDefault="00AF5561" w:rsidP="00A6629D">
      <w:pPr>
        <w:pStyle w:val="PargrafodaLista"/>
        <w:numPr>
          <w:ilvl w:val="0"/>
          <w:numId w:val="14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Indique que inseticida está a ser usado, se este será alterado durante o ciclo de financiamento e, em caso afirmativo, para qual.</w:t>
      </w:r>
    </w:p>
    <w:p w14:paraId="19386DBE" w14:textId="24D6C25B" w:rsidR="00010C82" w:rsidRPr="006869FB" w:rsidRDefault="00010C82" w:rsidP="0020756E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Análise de lacunas para o diagnóstico e o tratamento da malária</w:t>
      </w:r>
    </w:p>
    <w:p w14:paraId="091BE97C" w14:textId="48B29CCF" w:rsidR="009641D7" w:rsidRDefault="009641D7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As necessidades definidas de terapia de combinação à base de artemisinina (TCA) e testes de diagnóstico da malária (microscopia e testes de diagnóstico rápido [TDR]) são influenciadas pela epidemiologia da doença e pela cobertura do sistema de saúde. É crucial que sejam usados os pressupostos científicos, racionais e baseados em dados concretos mais atualizados. Note que os pressupostos contidos no quadro poderão não ser todos aplicáveis ​​à sua situação local. Ignore os pressupostos que não sejam relevantes para o seu contexto nacional. Da mesma forma, certifique-se de incluir outros pressupostos que possam não estar enumerados no quadro, mas que considere relevantes para o seu contexto. Tem de explicar a lógica subjacente a todos os pressupostos assumidos.</w:t>
      </w:r>
    </w:p>
    <w:p w14:paraId="1D44DFF2" w14:textId="13FC8A16" w:rsidR="00873E03" w:rsidRPr="006869FB" w:rsidRDefault="00873E03" w:rsidP="0020756E">
      <w:pPr>
        <w:spacing w:before="12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/>
          <w:sz w:val="20"/>
        </w:rPr>
        <w:t>Para a gestão comunitária de casos, assegure a complementaridade entre as folhas de análise de lacunas de produtos para a malária e que não sejam para a malária.</w:t>
      </w:r>
    </w:p>
    <w:p w14:paraId="0ED8EA87" w14:textId="34557BBB" w:rsidR="0078592C" w:rsidRPr="006869FB" w:rsidRDefault="0078592C" w:rsidP="0020756E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Tratamento </w:t>
      </w:r>
    </w:p>
    <w:p w14:paraId="019509FB" w14:textId="5BBFFC45" w:rsidR="0004459B" w:rsidRPr="00864E70" w:rsidRDefault="0004459B" w:rsidP="00A6629D">
      <w:pPr>
        <w:pStyle w:val="PargrafodaLista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Para estimar a necessidade projetada de TCA por ano, são preferíveis os dados sobre consumo de TCA se disponíveis, mas também podem ser usadas estimativas epidemiológicas ou uma combinação de ambas as fontes. A contribuição proporcional para o acesso (acesso à prestação de serviços por sector) de cada sector (público, gestão comunitária de casos e sector privado) deve ser estimada e desagregada por sector.  Essa proporção por sector pode mudar ao longo do tempo, por exemplo, devido a variações na procura de tratamento nos sectores público ou privado. </w:t>
      </w:r>
    </w:p>
    <w:p w14:paraId="59AF9E82" w14:textId="4E2A3E76" w:rsidR="00F84EBB" w:rsidRPr="006869FB" w:rsidRDefault="00E80746" w:rsidP="00A6629D">
      <w:pPr>
        <w:pStyle w:val="PargrafodaLista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 proporção de casos de malária a tratar com TCA deve ser harmonizada com as metas do PEN e tal deve incluir as diferentes metas de cobertura para cada sector (por exemplo: unidades de saúde públicas – 100% dos casos de malária visados, GCIC – 100%, sector privado – 15%). Não inclua os casos de malária que não estão a aceder a cuidados e que não são contactados; por exemplo, se não tiver um programa direcionado para o sector privado informal, não o inclua na sua meta.</w:t>
      </w:r>
    </w:p>
    <w:p w14:paraId="512CB575" w14:textId="46E05952" w:rsidR="00F84EBB" w:rsidRDefault="00F84EBB" w:rsidP="00A6629D">
      <w:pPr>
        <w:pStyle w:val="PargrafodaLista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Multiplique o número de TCA necessários em cada sector pela proporção de casos de malária em cada sector.</w:t>
      </w:r>
    </w:p>
    <w:p w14:paraId="4DAC89E5" w14:textId="4D96D07A" w:rsidR="0078592C" w:rsidRPr="004D41A7" w:rsidRDefault="003021C1" w:rsidP="00A6629D">
      <w:pPr>
        <w:pStyle w:val="PargrafodaLista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Estime o número total, por sector, de TCA financiados através de recursos internos e externos e subtraia o número de TCA financiados ao número necessário para calcular a lacuna por sector. Destaque o número de TCA a financiar por meio da alocação do Fundo Global. Indique qualquer lacuna pendente e considere o respetivo financiamento por meio do Pedido Acima da Alocação Priorizado do FG.</w:t>
      </w:r>
    </w:p>
    <w:p w14:paraId="47E33C74" w14:textId="53A3419E" w:rsidR="00E1611B" w:rsidRPr="006869FB" w:rsidRDefault="0078592C" w:rsidP="00A6629D">
      <w:pPr>
        <w:pStyle w:val="PargrafodaLista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Desagregue o número necessário de TCA por faixa etária de acordo com os requisitos de embalagem. A lacuna de TCA no final da folha de cálculo representa o número total de TRATAMENTOS CONTRA A MALÁRIA. Para determinar a lacuna financeira, teria de atribuir essa necessidade total aos planos de tratamento por faixa etária adequada. Por exemplo, se a TCA em uso no país Y for de arteméter com lumefantrina, o tratamento total calculado deve ser subdividido em função dos quatro tamanhos de pacotes de tratamento para as diferentes faixas etárias. Para efetuar essa divisão, devem ser usados o perfil da população do país e a proporção de casos em cada faixa etária.  A lacuna financeira é depois determinada aplicando os respetivos preços específicos dos pacotes às necessidades.</w:t>
      </w:r>
    </w:p>
    <w:p w14:paraId="6F32FA5F" w14:textId="71AAD506" w:rsidR="008F2B2F" w:rsidRDefault="00E1611B" w:rsidP="00A6629D">
      <w:pPr>
        <w:pStyle w:val="PargrafodaLista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Para países que aplicam mais de uma TCA, indique a desagregação no quadro de análise de lacunas. Tal deve basear-se em metas estabelecidas no plano estratégico nacional, bem como na estratificação </w:t>
      </w:r>
      <w:r>
        <w:rPr>
          <w:rFonts w:ascii="Arial" w:hAnsi="Arial"/>
          <w:sz w:val="20"/>
        </w:rPr>
        <w:lastRenderedPageBreak/>
        <w:t xml:space="preserve">e na adaptação subnacionais, e pode ter como alvo específico grupos etários, como as crianças com menos de 5 anos, ou áreas geográficas. </w:t>
      </w:r>
    </w:p>
    <w:p w14:paraId="3F14BAD5" w14:textId="77777777" w:rsidR="002618CF" w:rsidRPr="002618CF" w:rsidRDefault="002618CF" w:rsidP="002618CF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Malária grave</w:t>
      </w:r>
    </w:p>
    <w:p w14:paraId="2D1789FA" w14:textId="77777777" w:rsidR="00FF46F3" w:rsidRPr="00FF46F3" w:rsidRDefault="007B4B0A" w:rsidP="00FF46F3">
      <w:pPr>
        <w:pStyle w:val="PargrafodaLista"/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Para o número total de casos graves de malária, use o número de casos estimados de malária na análise de lacunas de TCA. Use dados locais para definir a proporção de casos de malária sem complicações que se estima progredirem para doença grave. Tal deve ser inferior a 5%. </w:t>
      </w:r>
      <w:r>
        <w:rPr>
          <w:rFonts w:ascii="Arial" w:hAnsi="Arial"/>
          <w:sz w:val="20"/>
        </w:rPr>
        <w:tab/>
        <w:t>Insira a percentagem de casos de malária grave a visar no plano estratégico nacional.</w:t>
      </w:r>
      <w:r>
        <w:rPr>
          <w:rFonts w:ascii="Arial" w:hAnsi="Arial"/>
          <w:sz w:val="20"/>
        </w:rPr>
        <w:tab/>
      </w:r>
    </w:p>
    <w:p w14:paraId="7B14F583" w14:textId="4C51A151" w:rsidR="00FF46F3" w:rsidRPr="00FF46F3" w:rsidRDefault="00FF46F3" w:rsidP="00FF46F3">
      <w:pPr>
        <w:pStyle w:val="PargrafodaLista"/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Multiplique o número total de casos graves pela cobertura-alvo no PEN.</w:t>
      </w:r>
    </w:p>
    <w:p w14:paraId="3477E08C" w14:textId="34207AD2" w:rsidR="00FF46F3" w:rsidRPr="00FF46F3" w:rsidRDefault="00FF46F3" w:rsidP="00674C6E">
      <w:pPr>
        <w:pStyle w:val="PargrafodaLista"/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Insira a proporção de casos de malária grave geridos (tratamento pré-encaminhamento, por exemplo, com artesunato retal) através da gestão comunitária de casos e/ou do nível de cuidados de saúde primários. Multiplique a proporção de casos de malária grave geridos (tratamento pré-encaminhamento, por exemplo, com artesunato retal) através da gestão comunitária de casos e/ou do nível de cuidados de saúde primários pelo número total de casos graves.</w:t>
      </w:r>
      <w:r>
        <w:rPr>
          <w:rFonts w:ascii="Arial" w:hAnsi="Arial"/>
          <w:sz w:val="20"/>
        </w:rPr>
        <w:tab/>
      </w:r>
    </w:p>
    <w:p w14:paraId="20E6608F" w14:textId="77777777" w:rsidR="00FF46F3" w:rsidRDefault="00FF46F3" w:rsidP="00A542E9">
      <w:pPr>
        <w:pStyle w:val="PargrafodaLista"/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Insira a proporção de casos de malária grave geridos ao nível das unidades de saúde. Multiplique a proporção de casos de malária grave geridos ao nível das unidades de saúde pelo número total de casos de malária grave.</w:t>
      </w:r>
    </w:p>
    <w:p w14:paraId="7E724E6A" w14:textId="343654C9" w:rsidR="00F85E19" w:rsidRPr="00FF46F3" w:rsidRDefault="00FF46F3" w:rsidP="00A542E9">
      <w:pPr>
        <w:pStyle w:val="PargrafodaLista"/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Inclua o que já está financiado com recursos internos e externos e afete as lacunas à alocação do FG. </w:t>
      </w:r>
      <w:r>
        <w:rPr>
          <w:rFonts w:ascii="Arial" w:hAnsi="Arial"/>
          <w:sz w:val="20"/>
        </w:rPr>
        <w:tab/>
      </w:r>
    </w:p>
    <w:p w14:paraId="02374095" w14:textId="77777777" w:rsidR="00F85E19" w:rsidRPr="00F85E19" w:rsidRDefault="00F85E19" w:rsidP="00F85E19">
      <w:pPr>
        <w:pStyle w:val="PargrafodaLista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p w14:paraId="41BB2C68" w14:textId="0D63A39F" w:rsidR="002618CF" w:rsidRPr="006869FB" w:rsidRDefault="00F85E19" w:rsidP="00F85E19">
      <w:pPr>
        <w:pStyle w:val="PargrafodaLista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p w14:paraId="11BBEE33" w14:textId="49BEDD66" w:rsidR="0078592C" w:rsidRPr="006869FB" w:rsidRDefault="0078592C" w:rsidP="0020756E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Testagem de diagnóstico </w:t>
      </w:r>
    </w:p>
    <w:p w14:paraId="58F0AF7D" w14:textId="26B17162" w:rsidR="00AA354B" w:rsidRPr="006869FB" w:rsidRDefault="00C9728B" w:rsidP="00A6629D">
      <w:pPr>
        <w:pStyle w:val="PargrafodaLista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Insira o número de casos suspeitos de malária anualmente com base em estimativas epidemiológicas e dados sobre consumo e extrapol</w:t>
      </w:r>
      <w:r w:rsidR="0014755C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para levar em conta os aumentos da população. Calcule o número total de TDR e lâminas para microscopia necessários anualmente. </w:t>
      </w:r>
    </w:p>
    <w:p w14:paraId="7D7EA659" w14:textId="66107AE7" w:rsidR="002151E1" w:rsidRPr="006869FB" w:rsidRDefault="002151E1" w:rsidP="00A6629D">
      <w:pPr>
        <w:pStyle w:val="PargrafodaLista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Insira as metas nacionais de cobertura de diagnóstico com base nas metas do plano estratégico nacional. Certifique-se de levar em conta as diferentes coberturas de diagnóstico por sector; por exemplo, indicando a percentagem de acesso a cuidados por meio de unidades de saúde pública, no nível comunitário e através do sector privado. A cobertura de diagnóstico nos níveis público, privado e comunitário terá depois de ser incorporada. </w:t>
      </w:r>
    </w:p>
    <w:p w14:paraId="23E96266" w14:textId="0FCD8F91" w:rsidR="008F2B2F" w:rsidRPr="006869FB" w:rsidRDefault="008F2B2F" w:rsidP="00A6629D">
      <w:pPr>
        <w:pStyle w:val="PargrafodaLista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O número de TDR e lâminas para microscopia necessários é calculado fatorizando a necessidade geral, as metas nacionais, as reduções em resultado do controlo de vetores e a proporção relativa coberta por microscopia ou TDR.</w:t>
      </w:r>
    </w:p>
    <w:p w14:paraId="4B70A7FD" w14:textId="0B6E8382" w:rsidR="0004459B" w:rsidRPr="006869FB" w:rsidRDefault="008F2B2F" w:rsidP="00A6629D">
      <w:pPr>
        <w:pStyle w:val="PargrafodaLista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Calcule o número de TDR/lâminas para microscopia já financiados ou disponíveis no período projetado por sector.  </w:t>
      </w:r>
      <w:r>
        <w:rPr>
          <w:rFonts w:ascii="Arial" w:hAnsi="Arial"/>
          <w:sz w:val="20"/>
        </w:rPr>
        <w:tab/>
      </w:r>
    </w:p>
    <w:p w14:paraId="3BE972F2" w14:textId="39C33EC0" w:rsidR="008F2B2F" w:rsidRDefault="008F2B2F" w:rsidP="00A6629D">
      <w:pPr>
        <w:pStyle w:val="PargrafodaLista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Subtraia o número de TDR/lâminas para microscopia já financiado ao número total necessário para calcular a lacuna por sector.</w:t>
      </w:r>
    </w:p>
    <w:p w14:paraId="512C387F" w14:textId="51A25273" w:rsidR="002618CF" w:rsidRPr="002618CF" w:rsidRDefault="002618CF" w:rsidP="002618CF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Agentes de saúde comunitária e produtos de GCIC que não para a malária</w:t>
      </w:r>
    </w:p>
    <w:p w14:paraId="4BD1DB09" w14:textId="63A02F7A" w:rsidR="002618CF" w:rsidRDefault="002618CF" w:rsidP="002618CF">
      <w:pPr>
        <w:pStyle w:val="pf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Os quadros de ASC do FG estão incluídos no documento de análise de lacunas – consulte a Nota Informativa do FG sobre Sistemas de Saúde Resilientes e Sustentáveis para instruções. </w:t>
      </w:r>
      <w:hyperlink r:id="rId14" w:history="1">
        <w:r>
          <w:rPr>
            <w:rStyle w:val="cf01"/>
            <w:color w:val="0000FF"/>
            <w:u w:val="single"/>
          </w:rPr>
          <w:t>https://www.theglobalfund.org/media/4759/core_resilientsustainablesystemsforhealth_infonote_en.pdf</w:t>
        </w:r>
      </w:hyperlink>
    </w:p>
    <w:p w14:paraId="30108C1A" w14:textId="77777777" w:rsidR="002618CF" w:rsidRPr="002618CF" w:rsidRDefault="002618CF" w:rsidP="002618CF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750BCA5" w14:textId="77777777" w:rsidR="000B1730" w:rsidRPr="006869FB" w:rsidRDefault="000B1730" w:rsidP="0020756E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Notas de orientação específicas para a quimioterapia preventiva</w:t>
      </w:r>
    </w:p>
    <w:p w14:paraId="5F61CE78" w14:textId="77777777" w:rsidR="000B1730" w:rsidRPr="006869FB" w:rsidRDefault="000B1730" w:rsidP="0020756E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Quimioprofilaxia sazonal da malária (QSM)</w:t>
      </w:r>
    </w:p>
    <w:p w14:paraId="3D123E3E" w14:textId="23DF864B" w:rsidR="004D7356" w:rsidRDefault="003B5C4E" w:rsidP="003B5C4E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Em áreas de transmissão sazonal da malária, as crianças pertencentes a faixas etárias com alto risco de malária grave devem receber medicamentos antimaláricos durante as estações de pico de transmissão da malária para reduzir a carga da doença. A elegibilidade para a quimioprevenção sazonal da malária (QSM) é definida pela sazonalidade da transmissão da malária e pelas faixas etárias em risco de malária grave. Os limiares para avaliação desses critérios variam ao longo do tempo e em função do local. Os programas da malária devem avaliar a adequação da QSM com base na epidemiologia local da malária e no financiamento disponível. O valor acrescentado de uma intervenção sazonalmente direcionada tenderá a ser maior nos casos em que a transmissão seja intensamente sazonal. Os ciclos mensais de </w:t>
      </w:r>
      <w:r>
        <w:rPr>
          <w:rFonts w:ascii="Arial" w:hAnsi="Arial"/>
          <w:sz w:val="20"/>
        </w:rPr>
        <w:lastRenderedPageBreak/>
        <w:t>sulfadoxina</w:t>
      </w:r>
      <w:r w:rsidR="00970453">
        <w:rPr>
          <w:rFonts w:ascii="Arial" w:hAnsi="Arial"/>
          <w:sz w:val="20"/>
        </w:rPr>
        <w:noBreakHyphen/>
      </w:r>
      <w:r>
        <w:rPr>
          <w:rFonts w:ascii="Arial" w:hAnsi="Arial"/>
          <w:sz w:val="20"/>
        </w:rPr>
        <w:t>pirimetamina e amodiaquina (SP+AQ) têm sido amplamente usados para QSM em crianças africanas com menos de 5 anos e demonstraram ser eficazes, seguros, bem tolerados, disponíveis e baratos</w:t>
      </w:r>
    </w:p>
    <w:p w14:paraId="024FDAA0" w14:textId="01DC8A41" w:rsidR="00C14EF5" w:rsidRPr="00FA1EA8" w:rsidRDefault="00C14EF5" w:rsidP="00FA1EA8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Faixa etária: </w:t>
      </w:r>
      <w:r>
        <w:rPr>
          <w:rFonts w:ascii="Arial" w:hAnsi="Arial"/>
          <w:sz w:val="20"/>
        </w:rPr>
        <w:t xml:space="preserve">a maioria dos estudos de </w:t>
      </w:r>
      <w:r w:rsidR="00970453" w:rsidRPr="00970453">
        <w:rPr>
          <w:rFonts w:ascii="Arial" w:hAnsi="Arial"/>
          <w:sz w:val="20"/>
        </w:rPr>
        <w:t>investigação</w:t>
      </w:r>
      <w:r>
        <w:rPr>
          <w:rFonts w:ascii="Arial" w:hAnsi="Arial"/>
          <w:sz w:val="20"/>
        </w:rPr>
        <w:t xml:space="preserve"> avaliou a QSM em crianças dos 3 aos 59 meses. A QSM também demonstrou reduzir a incidência de malária clínica nas crianças com menos de 10 anos. A faixa etária visada para QSM deve fundamentar-se no padrão etário local de internamentos por malária grave. A relação custo-eficácia da QSM tornar-se-á menos favorável com a expansão dos programas para faixas etárias com menor risco de doença grave e áreas de menor transmissão da malária. </w:t>
      </w:r>
    </w:p>
    <w:p w14:paraId="4C82D76F" w14:textId="6924331B" w:rsidR="00C14EF5" w:rsidRPr="00FA1EA8" w:rsidRDefault="00C14EF5" w:rsidP="00FA1EA8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Dosagem: </w:t>
      </w:r>
      <w:r>
        <w:rPr>
          <w:rFonts w:ascii="Arial" w:hAnsi="Arial"/>
          <w:sz w:val="20"/>
        </w:rPr>
        <w:t>as crianças em faixas etárias com risco acrescido de doença grave devem receber um tratamento completo de antimaláricos, na dose recomendada, como QSM. A dosagem do medicamento deve ser determinada com base no peso da criança sempre que possível, com a dosagem em função da idade apenas nas situações em que o peso da criança seja desconhecido. </w:t>
      </w:r>
    </w:p>
    <w:p w14:paraId="528F96B7" w14:textId="394D36AD" w:rsidR="00C14EF5" w:rsidRPr="00FA1EA8" w:rsidRDefault="00C14EF5" w:rsidP="00FA1EA8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Frequência: </w:t>
      </w:r>
      <w:r>
        <w:rPr>
          <w:rFonts w:ascii="Arial" w:hAnsi="Arial"/>
          <w:sz w:val="20"/>
        </w:rPr>
        <w:t xml:space="preserve">o número de ciclos deve fundamentar-se na duração da estação de transmissão elevada, com base na epidemiologia local da malária e na duração da eficácia preventiva da combinação de medicamentos selecionada. A QSM deve ser usada para proteger as crianças durante toda a estação de transmissão elevada. Elementos comprovativos atuais apoiam a administração mensal de QSM durante três a quatro ciclos em contextos de transmissão mais curta; em contextos com estações de transmissão mais longas foram avaliados até seis ciclos. </w:t>
      </w:r>
    </w:p>
    <w:p w14:paraId="6995CFB5" w14:textId="0EF061DB" w:rsidR="00C14EF5" w:rsidRPr="00FA1EA8" w:rsidRDefault="00C14EF5" w:rsidP="00FA1EA8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Fornecimento: </w:t>
      </w:r>
      <w:r w:rsidR="005D19D3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QSM pode ser fornecida por meio de entrega porta a porta ou num ponto fixo. </w:t>
      </w:r>
    </w:p>
    <w:p w14:paraId="151CAAE9" w14:textId="77777777" w:rsidR="00EB33BD" w:rsidRDefault="009E2AC9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 boa quantificação dos abastecimentos é um fator determinante para o sucesso da implementação da QSM. A estimativa da quantidade de medicamentos requer uma aproximação razoável do número de crianças visadas. Se tais estimativas não estiverem disponíveis, mas a fração de crianças nessa faixa etária da população for conhecida, a quantidade de medicamentos para QSM pode ser estimada. Os dados populacionais podem ser obtidos do censo nacional ou inquérito demográfico e de saúde mais recente ou junto do instituto nacional de estatística. </w:t>
      </w:r>
    </w:p>
    <w:p w14:paraId="0569D52D" w14:textId="350DBB1C" w:rsidR="00525916" w:rsidRPr="006869FB" w:rsidRDefault="005048E7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O número de comprimidos é o produto do número esperado de crianças na(s) área(s) visada(s) e do número de doses administradas durante a estação de transmissão.</w:t>
      </w:r>
    </w:p>
    <w:p w14:paraId="1A2DDBA3" w14:textId="790EFA06" w:rsidR="0010254E" w:rsidRPr="006869FB" w:rsidRDefault="00752778" w:rsidP="0020756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Para a análise de lacunas, destaque o número de crianças a alcançar (indicando as faixas etárias visadas), o número de ciclos de QSM e, em seguida, o número financiado (através de recursos internos e externos), a necessidade a atender por meio das alocações do FG e quaisquer lacunas pendentes. Considere cobrir quaisquer lacunas pendentes por meio do Pedido Acima da Alocação Priorizado do Fundo Global. </w:t>
      </w:r>
    </w:p>
    <w:p w14:paraId="35460221" w14:textId="59CC87D9" w:rsidR="00FF75C7" w:rsidRDefault="00FF75C7" w:rsidP="0020756E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TPIg</w:t>
      </w:r>
    </w:p>
    <w:p w14:paraId="7A76B827" w14:textId="4301FB27" w:rsidR="00FF75C7" w:rsidRPr="003E0DC7" w:rsidRDefault="00FF75C7" w:rsidP="00DA3CA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Nas áreas com endemia de malária, as mulheres grávidas em todos os níveis de gravidade devem receber medicamentos antimaláricos em intervalos predeterminados para reduzir a carga de doença na gravidez e os efeitos adversos na gravidez e no parto.  A sulfadoxina-pirimetamina (SP) tem sido amplamente usada para a quimioprevenção da malária durante a gravidez e continua a ser eficaz na melhoria dos principais efeitos na gravidez. O TPIg-SP deve ser iniciado logo que possível no segundo trimestre e não antes da 13.ª semana de gravidez. As doses devem ser administradas com pelo menos um mês de intervalo, com o objetivo de assegurar que sejam recebidas pelo menos três doses. Os contactos de cuidados pré-natais (CPN) continuam a ser uma plataforma importante para o fornecimento de TPIg. Nos casos em que existam desigualdades no serviço e no alcance dos CPN, podem ser explorados outros métodos de prestação de serviços (como o recurso a agentes de saúde comunitária), assegurando que a comparência nos CPN seja mantida e que as desigualdades subjacentes à prestação de serviços de CPN sejam solucionadas.</w:t>
      </w:r>
    </w:p>
    <w:p w14:paraId="1723A266" w14:textId="495102FE" w:rsidR="00FF75C7" w:rsidRPr="00476874" w:rsidRDefault="00FF75C7" w:rsidP="00D50FF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Para a análise de lacunas do TPIg, destaque o número de mulheres grávidas a atender (através de CPN e, quando aplicável, de agentes de saúde comunitária). Fatorize os aumentos na cobertura da população. Indique também a cobertura dos CPN e fatorize quaisquer aumentos esperados na mesma.  Em relação à meta, indique o que é financiado por recursos internos e externos, a necessidade a satisfazer através das alocações do FG e eventuais lacunas pendentes. Considere cobrir quaisquer lacunas pendentes por meio do Pedido Acima da Alocação Priorizado do Fundo Global.</w:t>
      </w:r>
    </w:p>
    <w:p w14:paraId="16848433" w14:textId="77777777" w:rsidR="00FF75C7" w:rsidRPr="003E0DC7" w:rsidRDefault="00FF75C7" w:rsidP="00FF75C7">
      <w:pPr>
        <w:rPr>
          <w:rFonts w:ascii="Arial" w:hAnsi="Arial" w:cs="Arial"/>
          <w:sz w:val="20"/>
          <w:szCs w:val="20"/>
        </w:rPr>
      </w:pPr>
    </w:p>
    <w:p w14:paraId="7DF19195" w14:textId="05CD6FC8" w:rsidR="00C84001" w:rsidRPr="006869FB" w:rsidRDefault="00C84001" w:rsidP="0020756E">
      <w:pPr>
        <w:pStyle w:val="Cabealho2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Notas de orientação específicas para análise de lacunas de M&amp;A, gestão de programas, patrocínio e CMC </w:t>
      </w:r>
    </w:p>
    <w:p w14:paraId="376AFF89" w14:textId="03FD2B01" w:rsidR="00C84001" w:rsidRPr="006869FB" w:rsidRDefault="00C84001" w:rsidP="00A6629D">
      <w:pPr>
        <w:pStyle w:val="PargrafodaLista"/>
        <w:numPr>
          <w:ilvl w:val="0"/>
          <w:numId w:val="8"/>
        </w:numPr>
        <w:spacing w:before="1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/>
          <w:sz w:val="20"/>
        </w:rPr>
        <w:t>As listas facultadas nas respetivas folhas de cálculo de monitorização e avaliação, gestão de programas, advocacia e MSC são todas indicativas. Tal não pretende ser abrangente, já que esses mecanismos de apoio diferem significativamente entre países e internamente aos mesmos.</w:t>
      </w:r>
    </w:p>
    <w:p w14:paraId="1ED9EEBB" w14:textId="4F478A11" w:rsidR="00C84001" w:rsidRPr="006869FB" w:rsidRDefault="00C84001" w:rsidP="00A6629D">
      <w:pPr>
        <w:pStyle w:val="PargrafodaLista"/>
        <w:numPr>
          <w:ilvl w:val="0"/>
          <w:numId w:val="8"/>
        </w:numPr>
        <w:spacing w:before="1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/>
          <w:sz w:val="20"/>
        </w:rPr>
        <w:t xml:space="preserve">Certifique-se de refletir as atividades específicas de acordo com o seu plano estratégico nacional. Certifique-se de que sejam usadas abordagens à MSC baseadas em dados concretos. Dependendo da situação local, considere uma combinação de mecanismos de monitorização e avaliação, incluindo dados de rotina, por meio de sistemas de informação de gestão da saúde, sistemas de informação do mercado de trabalho, etc., e ainda inquéritos sobre indicadores da malária. Inclua também atividades essenciais, como a monitorização da resistência a inseticidas, da resistência a medicamentos e da durabilidade dos MTI.  </w:t>
      </w:r>
    </w:p>
    <w:p w14:paraId="29A84C1C" w14:textId="15776D47" w:rsidR="00C84001" w:rsidRPr="006869FB" w:rsidRDefault="00C84001" w:rsidP="00A6629D">
      <w:pPr>
        <w:pStyle w:val="PargrafodaLista"/>
        <w:numPr>
          <w:ilvl w:val="0"/>
          <w:numId w:val="8"/>
        </w:numPr>
        <w:spacing w:before="1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/>
          <w:sz w:val="20"/>
        </w:rPr>
        <w:t xml:space="preserve">Determine o custo médio por unidade para realizar plenamente cada uma das atividades e use-o para calcular o custo total por atividade e por ano. </w:t>
      </w:r>
    </w:p>
    <w:p w14:paraId="387C8F49" w14:textId="77777777" w:rsidR="00C84001" w:rsidRPr="006869FB" w:rsidRDefault="00C84001" w:rsidP="00A6629D">
      <w:pPr>
        <w:pStyle w:val="PargrafodaLista"/>
        <w:numPr>
          <w:ilvl w:val="0"/>
          <w:numId w:val="8"/>
        </w:numPr>
        <w:spacing w:before="12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/>
          <w:sz w:val="20"/>
        </w:rPr>
        <w:t xml:space="preserve">Dado que o custo da maioria dessas atividades é específico do país, há a necessidade de justificar o custo dessas atividades de apoio na sua análise de lacunas financeiras. </w:t>
      </w:r>
    </w:p>
    <w:p w14:paraId="7A372E4F" w14:textId="77777777" w:rsidR="00FB3C97" w:rsidRPr="006869FB" w:rsidRDefault="00FB3C97" w:rsidP="0020756E">
      <w:pPr>
        <w:pStyle w:val="Cabealho1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Método para realizar a análise de lacunas financeiras da malária </w:t>
      </w:r>
    </w:p>
    <w:p w14:paraId="31F878BF" w14:textId="77777777" w:rsidR="00AF423C" w:rsidRPr="006869FB" w:rsidRDefault="00AF423C" w:rsidP="0020756E">
      <w:pPr>
        <w:pStyle w:val="PargrafodaLista"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 análise de lacunas financeiras deve basear-se nas necessidades identificadas na análise de lacunas programáticas para cada intervenção. </w:t>
      </w:r>
    </w:p>
    <w:p w14:paraId="55633466" w14:textId="4265FC7D" w:rsidR="00AF423C" w:rsidRPr="006869FB" w:rsidRDefault="00AF423C" w:rsidP="0020756E">
      <w:pPr>
        <w:pStyle w:val="PargrafodaLista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Quantifique o custo dos produtos necessários para cada intervenção.</w:t>
      </w:r>
      <w:r w:rsidR="005048E7" w:rsidRPr="006869FB">
        <w:rPr>
          <w:rStyle w:val="Refdenotaderodap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/>
          <w:sz w:val="20"/>
        </w:rPr>
        <w:t xml:space="preserve"> </w:t>
      </w:r>
    </w:p>
    <w:p w14:paraId="59DE0159" w14:textId="1764BF12" w:rsidR="00AF423C" w:rsidRPr="006869FB" w:rsidRDefault="002D551C" w:rsidP="0020756E">
      <w:pPr>
        <w:pStyle w:val="PargrafodaLista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Resuma o custo dos produtos já cobertos pelos recursos existentes.</w:t>
      </w:r>
    </w:p>
    <w:p w14:paraId="34E69A6F" w14:textId="77777777" w:rsidR="00FE74FD" w:rsidRPr="006869FB" w:rsidRDefault="00FE74FD" w:rsidP="0020756E">
      <w:pPr>
        <w:pStyle w:val="PargrafodaLista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</w:rPr>
        <w:t xml:space="preserve">Serão levadas em consideração as informações de financiamento interno e de parceiros internacionais. </w:t>
      </w:r>
    </w:p>
    <w:p w14:paraId="0DBF6BC5" w14:textId="77777777" w:rsidR="00FE74FD" w:rsidRPr="006869FB" w:rsidRDefault="00FE74FD" w:rsidP="0020756E">
      <w:pPr>
        <w:pStyle w:val="PargrafodaLista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Identifique o custo dos produtos que ainda têm de ser cobertos.</w:t>
      </w:r>
    </w:p>
    <w:p w14:paraId="03961712" w14:textId="77777777" w:rsidR="00AF423C" w:rsidRPr="006869FB" w:rsidRDefault="00AF423C" w:rsidP="0020756E">
      <w:pPr>
        <w:pStyle w:val="PargrafodaLista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Quantifique as atividades pormenorizadas a realizar e o calendário (atividades técnicas e de apoio). </w:t>
      </w:r>
    </w:p>
    <w:p w14:paraId="2FFFD15A" w14:textId="77777777" w:rsidR="00AF423C" w:rsidRPr="006869FB" w:rsidRDefault="00AF423C" w:rsidP="0020756E">
      <w:pPr>
        <w:pStyle w:val="PargrafodaLista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Avalie o custo das atividades já cobertas pelos recursos existentes.</w:t>
      </w:r>
    </w:p>
    <w:p w14:paraId="040F2BF0" w14:textId="280D9B49" w:rsidR="00AF423C" w:rsidRPr="006869FB" w:rsidRDefault="00AF423C" w:rsidP="0020756E">
      <w:pPr>
        <w:pStyle w:val="PargrafodaLista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Identifique o custo das atividades que ainda têm de ser cobertas.</w:t>
      </w:r>
    </w:p>
    <w:p w14:paraId="5515392E" w14:textId="52825A4F" w:rsidR="00FE74FD" w:rsidRPr="006869FB" w:rsidRDefault="00FE74FD" w:rsidP="0020756E">
      <w:pPr>
        <w:pStyle w:val="PargrafodaLista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</w:rPr>
        <w:t>Serão levadas em consideração as informações de financiamento interno e de parceiros internacionais. O custo unitário de produtos e atividades levará sempre em consideração os padrões internacionais e o custo operacional local</w:t>
      </w:r>
      <w:r w:rsidR="00DD75EC"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z w:val="20"/>
        </w:rPr>
        <w:t xml:space="preserve"> </w:t>
      </w:r>
    </w:p>
    <w:p w14:paraId="7AAD8F4F" w14:textId="06DC34B7" w:rsidR="00406285" w:rsidRPr="006869FB" w:rsidRDefault="00BF3079" w:rsidP="0020756E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Quadro 2: Resumo da análise de lacunas orçamentais </w:t>
      </w:r>
    </w:p>
    <w:tbl>
      <w:tblPr>
        <w:tblW w:w="8380" w:type="dxa"/>
        <w:tblInd w:w="113" w:type="dxa"/>
        <w:tblLook w:val="04A0" w:firstRow="1" w:lastRow="0" w:firstColumn="1" w:lastColumn="0" w:noHBand="0" w:noVBand="1"/>
      </w:tblPr>
      <w:tblGrid>
        <w:gridCol w:w="4540"/>
        <w:gridCol w:w="960"/>
        <w:gridCol w:w="960"/>
        <w:gridCol w:w="960"/>
        <w:gridCol w:w="960"/>
      </w:tblGrid>
      <w:tr w:rsidR="00525916" w:rsidRPr="006869FB" w14:paraId="64E74D8B" w14:textId="77777777" w:rsidTr="00525916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8BEB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06E" w14:textId="3EDDA891" w:rsidR="00525916" w:rsidRPr="006869FB" w:rsidRDefault="00525916" w:rsidP="0020756E">
            <w:pPr>
              <w:spacing w:before="12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B727" w14:textId="58988942" w:rsidR="00525916" w:rsidRPr="006869FB" w:rsidRDefault="00525916" w:rsidP="0020756E">
            <w:pPr>
              <w:spacing w:before="12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400B" w14:textId="6ED686DC" w:rsidR="00525916" w:rsidRPr="006869FB" w:rsidRDefault="00525916" w:rsidP="0020756E">
            <w:pPr>
              <w:spacing w:before="12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96A0" w14:textId="3700969D" w:rsidR="00525916" w:rsidRPr="006869FB" w:rsidRDefault="00525916" w:rsidP="0020756E">
            <w:pPr>
              <w:spacing w:before="12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2026</w:t>
            </w:r>
          </w:p>
        </w:tc>
      </w:tr>
      <w:tr w:rsidR="00525916" w:rsidRPr="006869FB" w14:paraId="496A2C95" w14:textId="77777777" w:rsidTr="0052591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AA09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Necessidade total 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794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CF31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7055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2513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25916" w:rsidRPr="006869FB" w14:paraId="51D37B0F" w14:textId="77777777" w:rsidTr="0052591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3270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Recursos internos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345A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6ADD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7807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72EC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25916" w:rsidRPr="006869FB" w14:paraId="030D05CB" w14:textId="77777777" w:rsidTr="0052591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D88C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Recursos externos (inserir nome)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F10D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82F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7037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98FC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25916" w:rsidRPr="006869FB" w14:paraId="71B14A6E" w14:textId="77777777" w:rsidTr="0052591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F52B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Recursos externos (inserir nome)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9A65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DF05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3D8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9E49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tr w:rsidR="00525916" w:rsidRPr="006869FB" w14:paraId="47B37CE0" w14:textId="77777777" w:rsidTr="0052591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5E2A" w14:textId="77777777" w:rsidR="00525916" w:rsidRPr="006869FB" w:rsidRDefault="00525916" w:rsidP="0020756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Lacuna financeira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4C51" w14:textId="77777777" w:rsidR="00525916" w:rsidRPr="006869FB" w:rsidRDefault="00525916" w:rsidP="0020756E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530" w14:textId="77777777" w:rsidR="00525916" w:rsidRPr="006869FB" w:rsidRDefault="00525916" w:rsidP="0020756E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D142" w14:textId="77777777" w:rsidR="00525916" w:rsidRPr="006869FB" w:rsidRDefault="00525916" w:rsidP="0020756E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9D55" w14:textId="77777777" w:rsidR="00525916" w:rsidRPr="006869FB" w:rsidRDefault="00525916" w:rsidP="0020756E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0</w:t>
            </w:r>
          </w:p>
        </w:tc>
      </w:tr>
    </w:tbl>
    <w:p w14:paraId="309A915E" w14:textId="77777777" w:rsidR="009245CA" w:rsidRPr="006869FB" w:rsidRDefault="009245CA" w:rsidP="0020756E">
      <w:pPr>
        <w:spacing w:before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245CA" w:rsidRPr="006869F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B7EC2" w14:textId="77777777" w:rsidR="0023428B" w:rsidRDefault="0023428B" w:rsidP="00707308">
      <w:r>
        <w:separator/>
      </w:r>
    </w:p>
  </w:endnote>
  <w:endnote w:type="continuationSeparator" w:id="0">
    <w:p w14:paraId="1D7BADA4" w14:textId="77777777" w:rsidR="0023428B" w:rsidRDefault="0023428B" w:rsidP="0070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973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BC7F3" w14:textId="6E4BCA7A" w:rsidR="005D2ED1" w:rsidRDefault="005D2ED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5EC">
          <w:rPr>
            <w:noProof/>
          </w:rPr>
          <w:t>10</w:t>
        </w:r>
        <w:r>
          <w:fldChar w:fldCharType="end"/>
        </w:r>
      </w:p>
    </w:sdtContent>
  </w:sdt>
  <w:p w14:paraId="3EF25C51" w14:textId="77777777" w:rsidR="005D2ED1" w:rsidRDefault="005D2E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049E" w14:textId="77777777" w:rsidR="0023428B" w:rsidRDefault="0023428B" w:rsidP="00707308">
      <w:r>
        <w:separator/>
      </w:r>
    </w:p>
  </w:footnote>
  <w:footnote w:type="continuationSeparator" w:id="0">
    <w:p w14:paraId="683EEBC2" w14:textId="77777777" w:rsidR="0023428B" w:rsidRDefault="0023428B" w:rsidP="00707308">
      <w:r>
        <w:continuationSeparator/>
      </w:r>
    </w:p>
  </w:footnote>
  <w:footnote w:id="1">
    <w:p w14:paraId="5147CD8C" w14:textId="651306D6" w:rsidR="005B7C0A" w:rsidRPr="005B7C0A" w:rsidRDefault="005B7C0A">
      <w:pPr>
        <w:pStyle w:val="Textodenotaderodap"/>
      </w:pPr>
      <w:r>
        <w:rPr>
          <w:rStyle w:val="Refdenotaderodap"/>
        </w:rPr>
        <w:footnoteRef/>
      </w:r>
      <w:r>
        <w:t xml:space="preserve"> SMART – Specific, Measurable, Achievable, Relevant and Time-bound (ou Específicos, Mensuráveis, Alcançáveis, Relevantes e Calendarizados)</w:t>
      </w:r>
    </w:p>
  </w:footnote>
  <w:footnote w:id="2">
    <w:p w14:paraId="2D88CB7C" w14:textId="77777777" w:rsidR="00DD75EC" w:rsidRDefault="005D2ED1" w:rsidP="005048E7">
      <w:pPr>
        <w:rPr>
          <w:rFonts w:ascii="Cambria" w:hAnsi="Cambria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DD75EC">
        <w:rPr>
          <w:rFonts w:ascii="Cambria" w:hAnsi="Cambria"/>
          <w:sz w:val="18"/>
          <w:szCs w:val="18"/>
        </w:rPr>
        <w:t>Para informações sobre aquisições do FG, consulte:</w:t>
      </w:r>
    </w:p>
    <w:p w14:paraId="1968E8BC" w14:textId="5E9FA4F9" w:rsidR="005D2ED1" w:rsidRPr="005048E7" w:rsidRDefault="005D2ED1" w:rsidP="00DD75EC">
      <w:pPr>
        <w:ind w:firstLine="142"/>
        <w:rPr>
          <w:rFonts w:asciiTheme="majorHAnsi" w:eastAsia="Calibri" w:hAnsiTheme="majorHAnsi" w:cs="Arial"/>
          <w:sz w:val="18"/>
          <w:szCs w:val="20"/>
        </w:rPr>
      </w:pPr>
      <w:r>
        <w:rPr>
          <w:rFonts w:asciiTheme="majorHAnsi" w:hAnsiTheme="majorHAnsi"/>
          <w:sz w:val="18"/>
        </w:rPr>
        <w:t xml:space="preserve">TCA: </w:t>
      </w:r>
      <w:hyperlink r:id="rId1" w:history="1">
        <w:r>
          <w:rPr>
            <w:rFonts w:asciiTheme="majorHAnsi" w:hAnsiTheme="majorHAnsi"/>
            <w:sz w:val="18"/>
          </w:rPr>
          <w:t>http://www.theglobalfund.org/en/sourcing/acts/</w:t>
        </w:r>
      </w:hyperlink>
      <w:r>
        <w:rPr>
          <w:rFonts w:asciiTheme="majorHAnsi" w:hAnsiTheme="majorHAnsi"/>
          <w:sz w:val="18"/>
        </w:rPr>
        <w:t xml:space="preserve"> </w:t>
      </w:r>
    </w:p>
    <w:p w14:paraId="28681647" w14:textId="05AC401C" w:rsidR="005D2ED1" w:rsidRPr="005048E7" w:rsidRDefault="001E2F1D" w:rsidP="00DD75EC">
      <w:pPr>
        <w:pStyle w:val="Textodenotaderodap"/>
        <w:ind w:firstLine="142"/>
      </w:pPr>
      <w:r>
        <w:rPr>
          <w:rFonts w:asciiTheme="majorHAnsi" w:hAnsiTheme="majorHAnsi"/>
          <w:sz w:val="18"/>
        </w:rPr>
        <w:t xml:space="preserve">MTI: </w:t>
      </w:r>
      <w:hyperlink r:id="rId2" w:history="1">
        <w:r>
          <w:rPr>
            <w:rFonts w:asciiTheme="majorHAnsi" w:hAnsiTheme="majorHAnsi"/>
            <w:sz w:val="18"/>
          </w:rPr>
          <w:t>http://www.theglobalfund.org/en/sourcing/ITNs/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895EC" w14:textId="014AB881" w:rsidR="005D2ED1" w:rsidRDefault="00B74B2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7DF9A7C7" wp14:editId="236A2313">
          <wp:simplePos x="0" y="0"/>
          <wp:positionH relativeFrom="column">
            <wp:posOffset>210820</wp:posOffset>
          </wp:positionH>
          <wp:positionV relativeFrom="paragraph">
            <wp:posOffset>-267335</wp:posOffset>
          </wp:positionV>
          <wp:extent cx="1474470" cy="554990"/>
          <wp:effectExtent l="0" t="0" r="0" b="0"/>
          <wp:wrapTight wrapText="bothSides">
            <wp:wrapPolygon edited="0">
              <wp:start x="0" y="0"/>
              <wp:lineTo x="0" y="20760"/>
              <wp:lineTo x="21209" y="20760"/>
              <wp:lineTo x="2120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21533B9F" wp14:editId="56EA3EDC">
          <wp:simplePos x="0" y="0"/>
          <wp:positionH relativeFrom="column">
            <wp:posOffset>4164965</wp:posOffset>
          </wp:positionH>
          <wp:positionV relativeFrom="paragraph">
            <wp:posOffset>-113665</wp:posOffset>
          </wp:positionV>
          <wp:extent cx="1104265" cy="391795"/>
          <wp:effectExtent l="0" t="0" r="635" b="8255"/>
          <wp:wrapTight wrapText="bothSides">
            <wp:wrapPolygon edited="0">
              <wp:start x="0" y="0"/>
              <wp:lineTo x="0" y="21005"/>
              <wp:lineTo x="21240" y="21005"/>
              <wp:lineTo x="21240" y="10502"/>
              <wp:lineTo x="63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C6F6D" w14:textId="60EDE0C8" w:rsidR="005D2ED1" w:rsidRDefault="00B74B25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53199" wp14:editId="74E3ADA5">
              <wp:simplePos x="0" y="0"/>
              <wp:positionH relativeFrom="column">
                <wp:posOffset>-36999</wp:posOffset>
              </wp:positionH>
              <wp:positionV relativeFrom="paragraph">
                <wp:posOffset>218513</wp:posOffset>
              </wp:positionV>
              <wp:extent cx="6025526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552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7814E21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7.2pt" to="471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rv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C3A"/>
    <w:multiLevelType w:val="hybridMultilevel"/>
    <w:tmpl w:val="C4848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E344A"/>
    <w:multiLevelType w:val="hybridMultilevel"/>
    <w:tmpl w:val="8B5AA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73694"/>
    <w:multiLevelType w:val="hybridMultilevel"/>
    <w:tmpl w:val="F33E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10BF"/>
    <w:multiLevelType w:val="hybridMultilevel"/>
    <w:tmpl w:val="E8B891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877E13"/>
    <w:multiLevelType w:val="hybridMultilevel"/>
    <w:tmpl w:val="94A0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0929"/>
    <w:multiLevelType w:val="multilevel"/>
    <w:tmpl w:val="C86EE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256F3E0F"/>
    <w:multiLevelType w:val="hybridMultilevel"/>
    <w:tmpl w:val="30D83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EDD"/>
    <w:multiLevelType w:val="hybridMultilevel"/>
    <w:tmpl w:val="C7FC9F38"/>
    <w:lvl w:ilvl="0" w:tplc="967A35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B5F77"/>
    <w:multiLevelType w:val="hybridMultilevel"/>
    <w:tmpl w:val="29726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22066A"/>
    <w:multiLevelType w:val="hybridMultilevel"/>
    <w:tmpl w:val="5344E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7396"/>
    <w:multiLevelType w:val="hybridMultilevel"/>
    <w:tmpl w:val="1CFEB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F768D"/>
    <w:multiLevelType w:val="multilevel"/>
    <w:tmpl w:val="A2E231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EF7C54"/>
    <w:multiLevelType w:val="hybridMultilevel"/>
    <w:tmpl w:val="B43046C8"/>
    <w:lvl w:ilvl="0" w:tplc="F860223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7C332D"/>
    <w:multiLevelType w:val="hybridMultilevel"/>
    <w:tmpl w:val="466C0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706A9"/>
    <w:multiLevelType w:val="hybridMultilevel"/>
    <w:tmpl w:val="500A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470B9"/>
    <w:multiLevelType w:val="hybridMultilevel"/>
    <w:tmpl w:val="6F04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15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  <w:num w:numId="16">
    <w:abstractNumId w:val="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26"/>
    <w:rsid w:val="00001D8D"/>
    <w:rsid w:val="00002729"/>
    <w:rsid w:val="000053AB"/>
    <w:rsid w:val="00010C82"/>
    <w:rsid w:val="00013755"/>
    <w:rsid w:val="00014122"/>
    <w:rsid w:val="00017BBC"/>
    <w:rsid w:val="00022AF3"/>
    <w:rsid w:val="0002780D"/>
    <w:rsid w:val="00032F1C"/>
    <w:rsid w:val="00036718"/>
    <w:rsid w:val="0004174B"/>
    <w:rsid w:val="00044223"/>
    <w:rsid w:val="0004459B"/>
    <w:rsid w:val="00045A48"/>
    <w:rsid w:val="00050A71"/>
    <w:rsid w:val="000518E3"/>
    <w:rsid w:val="0005321A"/>
    <w:rsid w:val="000545D1"/>
    <w:rsid w:val="000556EA"/>
    <w:rsid w:val="00060140"/>
    <w:rsid w:val="00061F7E"/>
    <w:rsid w:val="00063AD8"/>
    <w:rsid w:val="00066CD9"/>
    <w:rsid w:val="00080B49"/>
    <w:rsid w:val="000935C6"/>
    <w:rsid w:val="00095E15"/>
    <w:rsid w:val="000976AC"/>
    <w:rsid w:val="000A56CF"/>
    <w:rsid w:val="000B1730"/>
    <w:rsid w:val="000B2654"/>
    <w:rsid w:val="000B3F6D"/>
    <w:rsid w:val="000D02DE"/>
    <w:rsid w:val="000D21FB"/>
    <w:rsid w:val="000E33E2"/>
    <w:rsid w:val="000E376C"/>
    <w:rsid w:val="000E4D49"/>
    <w:rsid w:val="000F6493"/>
    <w:rsid w:val="0010254E"/>
    <w:rsid w:val="00103C94"/>
    <w:rsid w:val="0011320B"/>
    <w:rsid w:val="00121503"/>
    <w:rsid w:val="00126139"/>
    <w:rsid w:val="001304B2"/>
    <w:rsid w:val="0013318D"/>
    <w:rsid w:val="00134906"/>
    <w:rsid w:val="0013687E"/>
    <w:rsid w:val="0014163E"/>
    <w:rsid w:val="00146FB3"/>
    <w:rsid w:val="0014755C"/>
    <w:rsid w:val="0015452E"/>
    <w:rsid w:val="00163021"/>
    <w:rsid w:val="00170D46"/>
    <w:rsid w:val="00170FF8"/>
    <w:rsid w:val="00171AA9"/>
    <w:rsid w:val="0017334D"/>
    <w:rsid w:val="001752B5"/>
    <w:rsid w:val="001826BA"/>
    <w:rsid w:val="00187B0B"/>
    <w:rsid w:val="00192E17"/>
    <w:rsid w:val="00193F42"/>
    <w:rsid w:val="001A096A"/>
    <w:rsid w:val="001A20B5"/>
    <w:rsid w:val="001C661B"/>
    <w:rsid w:val="001C677A"/>
    <w:rsid w:val="001D1C53"/>
    <w:rsid w:val="001E2F1D"/>
    <w:rsid w:val="001E584A"/>
    <w:rsid w:val="001E72A3"/>
    <w:rsid w:val="001F1AAF"/>
    <w:rsid w:val="00206C40"/>
    <w:rsid w:val="0020756E"/>
    <w:rsid w:val="002133CE"/>
    <w:rsid w:val="002151E1"/>
    <w:rsid w:val="00223609"/>
    <w:rsid w:val="00231B1C"/>
    <w:rsid w:val="0023428B"/>
    <w:rsid w:val="002379E2"/>
    <w:rsid w:val="00240422"/>
    <w:rsid w:val="00242529"/>
    <w:rsid w:val="00242F49"/>
    <w:rsid w:val="002447AC"/>
    <w:rsid w:val="002511DB"/>
    <w:rsid w:val="002529C6"/>
    <w:rsid w:val="00260FC1"/>
    <w:rsid w:val="002618CF"/>
    <w:rsid w:val="0027717C"/>
    <w:rsid w:val="00290878"/>
    <w:rsid w:val="002917C6"/>
    <w:rsid w:val="002B1E65"/>
    <w:rsid w:val="002C5BAD"/>
    <w:rsid w:val="002D3901"/>
    <w:rsid w:val="002D551C"/>
    <w:rsid w:val="002D739A"/>
    <w:rsid w:val="002F1512"/>
    <w:rsid w:val="002F586B"/>
    <w:rsid w:val="00300E73"/>
    <w:rsid w:val="003021C1"/>
    <w:rsid w:val="00306124"/>
    <w:rsid w:val="00307774"/>
    <w:rsid w:val="0031465A"/>
    <w:rsid w:val="00322460"/>
    <w:rsid w:val="00325CD5"/>
    <w:rsid w:val="00330C6C"/>
    <w:rsid w:val="00336E53"/>
    <w:rsid w:val="003379C1"/>
    <w:rsid w:val="0034572F"/>
    <w:rsid w:val="00351497"/>
    <w:rsid w:val="00352A7B"/>
    <w:rsid w:val="00362A3A"/>
    <w:rsid w:val="00364C6D"/>
    <w:rsid w:val="00381D51"/>
    <w:rsid w:val="00383E89"/>
    <w:rsid w:val="00384F38"/>
    <w:rsid w:val="00391E6D"/>
    <w:rsid w:val="00392532"/>
    <w:rsid w:val="00396A18"/>
    <w:rsid w:val="003B5C4E"/>
    <w:rsid w:val="003C20AB"/>
    <w:rsid w:val="003D1A5D"/>
    <w:rsid w:val="003E0DC7"/>
    <w:rsid w:val="003E5DA1"/>
    <w:rsid w:val="003F043E"/>
    <w:rsid w:val="003F50EA"/>
    <w:rsid w:val="004006B4"/>
    <w:rsid w:val="004036F7"/>
    <w:rsid w:val="00406285"/>
    <w:rsid w:val="00414321"/>
    <w:rsid w:val="004204FF"/>
    <w:rsid w:val="004206B4"/>
    <w:rsid w:val="00426FB3"/>
    <w:rsid w:val="00441A15"/>
    <w:rsid w:val="00452CFA"/>
    <w:rsid w:val="00456A7F"/>
    <w:rsid w:val="0046077D"/>
    <w:rsid w:val="00461CB6"/>
    <w:rsid w:val="00472176"/>
    <w:rsid w:val="00476874"/>
    <w:rsid w:val="00476FAC"/>
    <w:rsid w:val="0047758D"/>
    <w:rsid w:val="00486E99"/>
    <w:rsid w:val="004930F4"/>
    <w:rsid w:val="00494789"/>
    <w:rsid w:val="004960D1"/>
    <w:rsid w:val="004A1F0D"/>
    <w:rsid w:val="004A285D"/>
    <w:rsid w:val="004B1F69"/>
    <w:rsid w:val="004B3128"/>
    <w:rsid w:val="004B655B"/>
    <w:rsid w:val="004C4DC7"/>
    <w:rsid w:val="004D2DD2"/>
    <w:rsid w:val="004D41A7"/>
    <w:rsid w:val="004D7356"/>
    <w:rsid w:val="004E6363"/>
    <w:rsid w:val="004F7284"/>
    <w:rsid w:val="0050376D"/>
    <w:rsid w:val="005048E7"/>
    <w:rsid w:val="00506DF0"/>
    <w:rsid w:val="00522D80"/>
    <w:rsid w:val="00525023"/>
    <w:rsid w:val="005250D9"/>
    <w:rsid w:val="00525916"/>
    <w:rsid w:val="005274A9"/>
    <w:rsid w:val="0053632F"/>
    <w:rsid w:val="00541ABF"/>
    <w:rsid w:val="00543789"/>
    <w:rsid w:val="00551081"/>
    <w:rsid w:val="00556287"/>
    <w:rsid w:val="00561FCB"/>
    <w:rsid w:val="00571EAF"/>
    <w:rsid w:val="00572C02"/>
    <w:rsid w:val="005810C5"/>
    <w:rsid w:val="00583C9D"/>
    <w:rsid w:val="005843F1"/>
    <w:rsid w:val="00584800"/>
    <w:rsid w:val="005A39CA"/>
    <w:rsid w:val="005A71FE"/>
    <w:rsid w:val="005B0B5D"/>
    <w:rsid w:val="005B37B3"/>
    <w:rsid w:val="005B7C0A"/>
    <w:rsid w:val="005C1E38"/>
    <w:rsid w:val="005C474E"/>
    <w:rsid w:val="005C5652"/>
    <w:rsid w:val="005D19D3"/>
    <w:rsid w:val="005D2ED1"/>
    <w:rsid w:val="005D500D"/>
    <w:rsid w:val="005D61F3"/>
    <w:rsid w:val="005E0FE5"/>
    <w:rsid w:val="005E1582"/>
    <w:rsid w:val="005F0B4B"/>
    <w:rsid w:val="005F2972"/>
    <w:rsid w:val="0060054C"/>
    <w:rsid w:val="00603BA0"/>
    <w:rsid w:val="00613CE2"/>
    <w:rsid w:val="00620700"/>
    <w:rsid w:val="00623B1A"/>
    <w:rsid w:val="006275D0"/>
    <w:rsid w:val="00636632"/>
    <w:rsid w:val="006411C4"/>
    <w:rsid w:val="00644FE3"/>
    <w:rsid w:val="00652048"/>
    <w:rsid w:val="00661E6D"/>
    <w:rsid w:val="00663A68"/>
    <w:rsid w:val="00663C39"/>
    <w:rsid w:val="00665560"/>
    <w:rsid w:val="006869FB"/>
    <w:rsid w:val="006913AA"/>
    <w:rsid w:val="00693AD1"/>
    <w:rsid w:val="0069619D"/>
    <w:rsid w:val="006A03A3"/>
    <w:rsid w:val="006A6518"/>
    <w:rsid w:val="006B0D79"/>
    <w:rsid w:val="006B1EF7"/>
    <w:rsid w:val="006B6D5C"/>
    <w:rsid w:val="006C0B72"/>
    <w:rsid w:val="006C438D"/>
    <w:rsid w:val="006D50DC"/>
    <w:rsid w:val="006E12ED"/>
    <w:rsid w:val="006E5B52"/>
    <w:rsid w:val="006F2A0A"/>
    <w:rsid w:val="006F30A4"/>
    <w:rsid w:val="006F4480"/>
    <w:rsid w:val="006F55FF"/>
    <w:rsid w:val="006F7A44"/>
    <w:rsid w:val="00705A72"/>
    <w:rsid w:val="00707308"/>
    <w:rsid w:val="00722E16"/>
    <w:rsid w:val="00723D2E"/>
    <w:rsid w:val="00724101"/>
    <w:rsid w:val="00724FF7"/>
    <w:rsid w:val="00735824"/>
    <w:rsid w:val="007438ED"/>
    <w:rsid w:val="00744825"/>
    <w:rsid w:val="00752778"/>
    <w:rsid w:val="007623EC"/>
    <w:rsid w:val="00763BAE"/>
    <w:rsid w:val="00771AD7"/>
    <w:rsid w:val="00777E40"/>
    <w:rsid w:val="00783AA2"/>
    <w:rsid w:val="0078592C"/>
    <w:rsid w:val="00787C4A"/>
    <w:rsid w:val="007A03D3"/>
    <w:rsid w:val="007A3CD0"/>
    <w:rsid w:val="007A648F"/>
    <w:rsid w:val="007A7518"/>
    <w:rsid w:val="007B272B"/>
    <w:rsid w:val="007B348F"/>
    <w:rsid w:val="007B4B0A"/>
    <w:rsid w:val="007C0869"/>
    <w:rsid w:val="007C1BF2"/>
    <w:rsid w:val="007C67FD"/>
    <w:rsid w:val="007C7A37"/>
    <w:rsid w:val="007D46C2"/>
    <w:rsid w:val="007D5468"/>
    <w:rsid w:val="007E15EB"/>
    <w:rsid w:val="007E40E4"/>
    <w:rsid w:val="007F3FB4"/>
    <w:rsid w:val="00817F5E"/>
    <w:rsid w:val="008220C2"/>
    <w:rsid w:val="00822FBB"/>
    <w:rsid w:val="00827EFB"/>
    <w:rsid w:val="00827FD2"/>
    <w:rsid w:val="00830A78"/>
    <w:rsid w:val="00831C03"/>
    <w:rsid w:val="0083524E"/>
    <w:rsid w:val="0083728E"/>
    <w:rsid w:val="00844AE3"/>
    <w:rsid w:val="00847768"/>
    <w:rsid w:val="00850C27"/>
    <w:rsid w:val="00862750"/>
    <w:rsid w:val="00863305"/>
    <w:rsid w:val="00864E70"/>
    <w:rsid w:val="00873E03"/>
    <w:rsid w:val="00880F3A"/>
    <w:rsid w:val="0088477B"/>
    <w:rsid w:val="00885952"/>
    <w:rsid w:val="008A0431"/>
    <w:rsid w:val="008A79EA"/>
    <w:rsid w:val="008B02AA"/>
    <w:rsid w:val="008B55CC"/>
    <w:rsid w:val="008C2327"/>
    <w:rsid w:val="008D6502"/>
    <w:rsid w:val="008E5F12"/>
    <w:rsid w:val="008E7065"/>
    <w:rsid w:val="008F2B2F"/>
    <w:rsid w:val="00901E34"/>
    <w:rsid w:val="00902194"/>
    <w:rsid w:val="00907362"/>
    <w:rsid w:val="00913E3F"/>
    <w:rsid w:val="009215F6"/>
    <w:rsid w:val="009245CA"/>
    <w:rsid w:val="00941864"/>
    <w:rsid w:val="00943F64"/>
    <w:rsid w:val="00957F67"/>
    <w:rsid w:val="009641D7"/>
    <w:rsid w:val="00964B91"/>
    <w:rsid w:val="00970453"/>
    <w:rsid w:val="00971D63"/>
    <w:rsid w:val="00973D7A"/>
    <w:rsid w:val="0097452F"/>
    <w:rsid w:val="00976035"/>
    <w:rsid w:val="009852A4"/>
    <w:rsid w:val="00986133"/>
    <w:rsid w:val="00990F2D"/>
    <w:rsid w:val="009917C3"/>
    <w:rsid w:val="0099321F"/>
    <w:rsid w:val="009979D8"/>
    <w:rsid w:val="009A1DEA"/>
    <w:rsid w:val="009A30AC"/>
    <w:rsid w:val="009A6995"/>
    <w:rsid w:val="009B5C1E"/>
    <w:rsid w:val="009C207A"/>
    <w:rsid w:val="009D19F7"/>
    <w:rsid w:val="009E2AC9"/>
    <w:rsid w:val="009E680E"/>
    <w:rsid w:val="009E681B"/>
    <w:rsid w:val="009E6878"/>
    <w:rsid w:val="009E7B44"/>
    <w:rsid w:val="009F0BAB"/>
    <w:rsid w:val="009F483B"/>
    <w:rsid w:val="00A004D8"/>
    <w:rsid w:val="00A006AA"/>
    <w:rsid w:val="00A21792"/>
    <w:rsid w:val="00A25870"/>
    <w:rsid w:val="00A2755F"/>
    <w:rsid w:val="00A3384B"/>
    <w:rsid w:val="00A34497"/>
    <w:rsid w:val="00A47CFF"/>
    <w:rsid w:val="00A5145B"/>
    <w:rsid w:val="00A51E43"/>
    <w:rsid w:val="00A55FAB"/>
    <w:rsid w:val="00A606AA"/>
    <w:rsid w:val="00A6629D"/>
    <w:rsid w:val="00A720C4"/>
    <w:rsid w:val="00A74255"/>
    <w:rsid w:val="00A746AB"/>
    <w:rsid w:val="00A765F6"/>
    <w:rsid w:val="00A97C34"/>
    <w:rsid w:val="00AA354B"/>
    <w:rsid w:val="00AA5ECD"/>
    <w:rsid w:val="00AB7A26"/>
    <w:rsid w:val="00AD6DA5"/>
    <w:rsid w:val="00AE0EA7"/>
    <w:rsid w:val="00AE2866"/>
    <w:rsid w:val="00AE3515"/>
    <w:rsid w:val="00AE3D38"/>
    <w:rsid w:val="00AE7FDA"/>
    <w:rsid w:val="00AF1C88"/>
    <w:rsid w:val="00AF21F4"/>
    <w:rsid w:val="00AF423C"/>
    <w:rsid w:val="00AF5561"/>
    <w:rsid w:val="00AF59D3"/>
    <w:rsid w:val="00AF5A98"/>
    <w:rsid w:val="00B05861"/>
    <w:rsid w:val="00B06985"/>
    <w:rsid w:val="00B1084A"/>
    <w:rsid w:val="00B126C0"/>
    <w:rsid w:val="00B14C6D"/>
    <w:rsid w:val="00B22A33"/>
    <w:rsid w:val="00B24DCF"/>
    <w:rsid w:val="00B24EE8"/>
    <w:rsid w:val="00B267E0"/>
    <w:rsid w:val="00B34DA7"/>
    <w:rsid w:val="00B379F2"/>
    <w:rsid w:val="00B40835"/>
    <w:rsid w:val="00B464FB"/>
    <w:rsid w:val="00B5077D"/>
    <w:rsid w:val="00B510F4"/>
    <w:rsid w:val="00B56E8B"/>
    <w:rsid w:val="00B66503"/>
    <w:rsid w:val="00B702DA"/>
    <w:rsid w:val="00B74B25"/>
    <w:rsid w:val="00B7569E"/>
    <w:rsid w:val="00B82DA7"/>
    <w:rsid w:val="00B830EF"/>
    <w:rsid w:val="00B86B72"/>
    <w:rsid w:val="00BA6D35"/>
    <w:rsid w:val="00BC20BC"/>
    <w:rsid w:val="00BC3702"/>
    <w:rsid w:val="00BC62D0"/>
    <w:rsid w:val="00BD5B43"/>
    <w:rsid w:val="00BF3079"/>
    <w:rsid w:val="00C0336F"/>
    <w:rsid w:val="00C06C17"/>
    <w:rsid w:val="00C10E4B"/>
    <w:rsid w:val="00C14EF5"/>
    <w:rsid w:val="00C17591"/>
    <w:rsid w:val="00C23A3A"/>
    <w:rsid w:val="00C24FAF"/>
    <w:rsid w:val="00C24FC1"/>
    <w:rsid w:val="00C42DD9"/>
    <w:rsid w:val="00C436BF"/>
    <w:rsid w:val="00C4527A"/>
    <w:rsid w:val="00C4557C"/>
    <w:rsid w:val="00C54E19"/>
    <w:rsid w:val="00C56A5E"/>
    <w:rsid w:val="00C614DE"/>
    <w:rsid w:val="00C65B90"/>
    <w:rsid w:val="00C67A41"/>
    <w:rsid w:val="00C7132D"/>
    <w:rsid w:val="00C73540"/>
    <w:rsid w:val="00C75361"/>
    <w:rsid w:val="00C82106"/>
    <w:rsid w:val="00C84001"/>
    <w:rsid w:val="00C91176"/>
    <w:rsid w:val="00C9728B"/>
    <w:rsid w:val="00CA0D54"/>
    <w:rsid w:val="00CA1086"/>
    <w:rsid w:val="00CA66FD"/>
    <w:rsid w:val="00CB4D67"/>
    <w:rsid w:val="00CC7FAF"/>
    <w:rsid w:val="00CD0980"/>
    <w:rsid w:val="00CD21E7"/>
    <w:rsid w:val="00CE6B29"/>
    <w:rsid w:val="00CF126C"/>
    <w:rsid w:val="00CF1E68"/>
    <w:rsid w:val="00D00EB7"/>
    <w:rsid w:val="00D06C71"/>
    <w:rsid w:val="00D10746"/>
    <w:rsid w:val="00D1532B"/>
    <w:rsid w:val="00D15994"/>
    <w:rsid w:val="00D22994"/>
    <w:rsid w:val="00D30E5F"/>
    <w:rsid w:val="00D31438"/>
    <w:rsid w:val="00D3572C"/>
    <w:rsid w:val="00D36532"/>
    <w:rsid w:val="00D43D9C"/>
    <w:rsid w:val="00D44BF6"/>
    <w:rsid w:val="00D50FF8"/>
    <w:rsid w:val="00D5152E"/>
    <w:rsid w:val="00D51C9A"/>
    <w:rsid w:val="00D53C52"/>
    <w:rsid w:val="00D54867"/>
    <w:rsid w:val="00D54A13"/>
    <w:rsid w:val="00D54ECB"/>
    <w:rsid w:val="00D62FB4"/>
    <w:rsid w:val="00D6326A"/>
    <w:rsid w:val="00D63703"/>
    <w:rsid w:val="00D823C1"/>
    <w:rsid w:val="00D824DF"/>
    <w:rsid w:val="00D9463F"/>
    <w:rsid w:val="00D95F34"/>
    <w:rsid w:val="00DA37AA"/>
    <w:rsid w:val="00DA3CA5"/>
    <w:rsid w:val="00DA7551"/>
    <w:rsid w:val="00DB2C69"/>
    <w:rsid w:val="00DB46FE"/>
    <w:rsid w:val="00DC3E56"/>
    <w:rsid w:val="00DD3DF2"/>
    <w:rsid w:val="00DD75EC"/>
    <w:rsid w:val="00DD7D0E"/>
    <w:rsid w:val="00E1006A"/>
    <w:rsid w:val="00E1611B"/>
    <w:rsid w:val="00E16FE0"/>
    <w:rsid w:val="00E22CB5"/>
    <w:rsid w:val="00E231C9"/>
    <w:rsid w:val="00E34CFD"/>
    <w:rsid w:val="00E476C0"/>
    <w:rsid w:val="00E47FB5"/>
    <w:rsid w:val="00E51468"/>
    <w:rsid w:val="00E51B40"/>
    <w:rsid w:val="00E51CDE"/>
    <w:rsid w:val="00E52D05"/>
    <w:rsid w:val="00E578AF"/>
    <w:rsid w:val="00E634D1"/>
    <w:rsid w:val="00E65972"/>
    <w:rsid w:val="00E77DF6"/>
    <w:rsid w:val="00E80746"/>
    <w:rsid w:val="00E83B0F"/>
    <w:rsid w:val="00E906B3"/>
    <w:rsid w:val="00E948C8"/>
    <w:rsid w:val="00EB33BD"/>
    <w:rsid w:val="00EC4A6F"/>
    <w:rsid w:val="00ED1BE6"/>
    <w:rsid w:val="00ED62B4"/>
    <w:rsid w:val="00EE1D72"/>
    <w:rsid w:val="00EE5EED"/>
    <w:rsid w:val="00EE7F9C"/>
    <w:rsid w:val="00F00007"/>
    <w:rsid w:val="00F001B6"/>
    <w:rsid w:val="00F00CFF"/>
    <w:rsid w:val="00F019A7"/>
    <w:rsid w:val="00F031F0"/>
    <w:rsid w:val="00F11848"/>
    <w:rsid w:val="00F13790"/>
    <w:rsid w:val="00F13DEF"/>
    <w:rsid w:val="00F13E39"/>
    <w:rsid w:val="00F146C9"/>
    <w:rsid w:val="00F20E7B"/>
    <w:rsid w:val="00F21BCD"/>
    <w:rsid w:val="00F2355C"/>
    <w:rsid w:val="00F23E39"/>
    <w:rsid w:val="00F417A6"/>
    <w:rsid w:val="00F43DCB"/>
    <w:rsid w:val="00F5159A"/>
    <w:rsid w:val="00F52495"/>
    <w:rsid w:val="00F5564D"/>
    <w:rsid w:val="00F571FD"/>
    <w:rsid w:val="00F627F7"/>
    <w:rsid w:val="00F80EEB"/>
    <w:rsid w:val="00F84EBB"/>
    <w:rsid w:val="00F8570E"/>
    <w:rsid w:val="00F85E19"/>
    <w:rsid w:val="00F912EE"/>
    <w:rsid w:val="00F94596"/>
    <w:rsid w:val="00FA1EA8"/>
    <w:rsid w:val="00FB2D00"/>
    <w:rsid w:val="00FB3A13"/>
    <w:rsid w:val="00FB3C97"/>
    <w:rsid w:val="00FB6161"/>
    <w:rsid w:val="00FC2AFA"/>
    <w:rsid w:val="00FC3088"/>
    <w:rsid w:val="00FC4A59"/>
    <w:rsid w:val="00FD1474"/>
    <w:rsid w:val="00FE4868"/>
    <w:rsid w:val="00FE74FD"/>
    <w:rsid w:val="00FF167B"/>
    <w:rsid w:val="00FF385B"/>
    <w:rsid w:val="00FF46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45300"/>
  <w15:docId w15:val="{3548E9D7-52D5-4D68-AF58-E3AD74D4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850C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50C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9E7B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3D3"/>
    <w:pPr>
      <w:ind w:left="720"/>
      <w:contextualSpacing/>
    </w:pPr>
  </w:style>
  <w:style w:type="paragraph" w:customStyle="1" w:styleId="Default">
    <w:name w:val="Default"/>
    <w:rsid w:val="00045A4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styleId="Cabealho">
    <w:name w:val="header"/>
    <w:basedOn w:val="Normal"/>
    <w:link w:val="CabealhoCarter"/>
    <w:uiPriority w:val="99"/>
    <w:unhideWhenUsed/>
    <w:rsid w:val="00707308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730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707308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7308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50E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50E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267E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267E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267E0"/>
    <w:rPr>
      <w:rFonts w:ascii="Times New Roman" w:eastAsia="Times New Roman" w:hAnsi="Times New Roma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267E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267E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304B2"/>
    <w:rPr>
      <w:color w:val="0000FF" w:themeColor="hyperlink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50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50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Tipodeletrapredefinidodopargrafo"/>
    <w:uiPriority w:val="20"/>
    <w:qFormat/>
    <w:rsid w:val="009E2AC9"/>
    <w:rPr>
      <w:i/>
      <w:iCs/>
    </w:rPr>
  </w:style>
  <w:style w:type="paragraph" w:styleId="Textodenotaderodap">
    <w:name w:val="footnote text"/>
    <w:basedOn w:val="Normal"/>
    <w:link w:val="TextodenotaderodapCarter"/>
    <w:uiPriority w:val="99"/>
    <w:rsid w:val="00126139"/>
    <w:rPr>
      <w:rFonts w:ascii="Calibri" w:eastAsia="Calibri" w:hAnsi="Calibri" w:cs="Arial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126139"/>
    <w:rPr>
      <w:rFonts w:ascii="Calibri" w:eastAsia="Calibri" w:hAnsi="Calibri" w:cs="Arial"/>
      <w:sz w:val="20"/>
      <w:szCs w:val="20"/>
      <w:lang w:val="pt-PT"/>
    </w:rPr>
  </w:style>
  <w:style w:type="character" w:styleId="Refdenotaderodap">
    <w:name w:val="footnote reference"/>
    <w:uiPriority w:val="99"/>
    <w:semiHidden/>
    <w:rsid w:val="00126139"/>
    <w:rPr>
      <w:rFonts w:cs="Times New Roman"/>
      <w:vertAlign w:val="superscript"/>
    </w:rPr>
  </w:style>
  <w:style w:type="paragraph" w:styleId="Ttulo">
    <w:name w:val="Title"/>
    <w:basedOn w:val="Normal"/>
    <w:next w:val="Normal"/>
    <w:link w:val="TtuloCarter"/>
    <w:uiPriority w:val="10"/>
    <w:qFormat/>
    <w:rsid w:val="00693A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9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326A"/>
    <w:rPr>
      <w:color w:val="800080" w:themeColor="followedHyperlink"/>
      <w:u w:val="single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9E7B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o">
    <w:name w:val="Revision"/>
    <w:hidden/>
    <w:uiPriority w:val="99"/>
    <w:semiHidden/>
    <w:rsid w:val="00A5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4EF5"/>
    <w:pPr>
      <w:spacing w:before="100" w:beforeAutospacing="1" w:after="100" w:afterAutospacing="1"/>
    </w:pPr>
    <w:rPr>
      <w:lang w:eastAsia="en-GB"/>
    </w:rPr>
  </w:style>
  <w:style w:type="character" w:styleId="Forte">
    <w:name w:val="Strong"/>
    <w:basedOn w:val="Tipodeletrapredefinidodopargrafo"/>
    <w:uiPriority w:val="22"/>
    <w:qFormat/>
    <w:rsid w:val="00C14EF5"/>
    <w:rPr>
      <w:b/>
      <w:bCs/>
    </w:rPr>
  </w:style>
  <w:style w:type="character" w:styleId="CitaoHTML">
    <w:name w:val="HTML Cite"/>
    <w:basedOn w:val="Tipodeletrapredefinidodopargrafo"/>
    <w:uiPriority w:val="99"/>
    <w:semiHidden/>
    <w:unhideWhenUsed/>
    <w:rsid w:val="00C14EF5"/>
    <w:rPr>
      <w:i/>
      <w:iCs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9E681B"/>
    <w:rPr>
      <w:color w:val="605E5C"/>
      <w:shd w:val="clear" w:color="auto" w:fill="E1DFDD"/>
    </w:rPr>
  </w:style>
  <w:style w:type="paragraph" w:customStyle="1" w:styleId="pf0">
    <w:name w:val="pf0"/>
    <w:basedOn w:val="Normal"/>
    <w:rsid w:val="002618CF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Tipodeletrapredefinidodopargrafo"/>
    <w:rsid w:val="002618C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572543">
          <w:marLeft w:val="0"/>
          <w:marRight w:val="0"/>
          <w:marTop w:val="0"/>
          <w:marBottom w:val="0"/>
          <w:divBdr>
            <w:top w:val="dashed" w:sz="6" w:space="1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2.safelinks.protection.outlook.com/?url=https://htmlpreview.github.io/?https://github.com/hkoenker/Quantification/blob/master/output/Scenario_2_and_3_Quantifiers_Table_Full_Version.html&amp;data=05|01|marcy.erskine@ifrc.org|8b1a4c9662ba4fded1be08dab5be96a4|a2b53be5734e4e6cab0dd184f60fd917|0|0|638022127419403366|Unknown|TWFpbGZsb3d8eyJWIjoiMC4wLjAwMDAiLCJQIjoiV2luMzIiLCJBTiI6Ik1haWwiLCJXVCI6Mn0=|3000|||&amp;sdata=UvqxwM02aMpv+ARAOd17gB1LXEBAo20iuogXn6boLj8=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2.safelinks.protection.outlook.com/?url=https://htmlpreview.github.io/?https://github.com/hkoenker/Quantification/blob/master/output/Scenario_2_and_3_Quantifiers_Table_Full_Version.html&amp;data=05|01|marcy.erskine@ifrc.org|8b1a4c9662ba4fded1be08dab5be96a4|a2b53be5734e4e6cab0dd184f60fd917|0|0|638022127419403366|Unknown|TWFpbGZsb3d8eyJWIjoiMC4wLjAwMDAiLCJQIjoiV2luMzIiLCJBTiI6Ik1haWwiLCJXVCI6Mn0=|3000|||&amp;sdata=UvqxwM02aMpv+ARAOd17gB1LXEBAo20iuogXn6boLj8=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s://htmlpreview.github.io/?https://github.com/hkoenker/Quantification/blob/master/output/Scenario_2_and_3_Quantifiers_Table_Full_Version.html&amp;data=05|01|marcy.erskine@ifrc.org|8b1a4c9662ba4fded1be08dab5be96a4|a2b53be5734e4e6cab0dd184f60fd917|0|0|638022127419403366|Unknown|TWFpbGZsb3d8eyJWIjoiMC4wLjAwMDAiLCJQIjoiV2luMzIiLCJBTiI6Ik1haWwiLCJXVCI6Mn0=|3000|||&amp;sdata=UvqxwM02aMpv+ARAOd17gB1LXEBAo20iuogXn6boLj8=&amp;reserved=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ur02.safelinks.protection.outlook.com/?url=https://htmlpreview.github.io/?https://github.com/hkoenker/Quantification/blob/master/output/Scenario_2_and_3_Quantifiers_Table_Full_Version.html&amp;data=05|01|marcy.erskine@ifrc.org|8b1a4c9662ba4fded1be08dab5be96a4|a2b53be5734e4e6cab0dd184f60fd917|0|0|638022127419403366|Unknown|TWFpbGZsb3d8eyJWIjoiMC4wLjAwMDAiLCJQIjoiV2luMzIiLCJBTiI6Ik1haWwiLCJXVCI6Mn0=|3000|||&amp;sdata=UvqxwM02aMpv+ARAOd17gB1LXEBAo20iuogXn6boLj8=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eglobalfund.org/media/4759/core_resilientsustainablesystemsforhealth_infonote_en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globalfund.org/en/sourcing/llins/" TargetMode="External"/><Relationship Id="rId1" Type="http://schemas.openxmlformats.org/officeDocument/2006/relationships/hyperlink" Target="http://www.theglobalfund.org/en/sourcing/a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8E106B925D49AEA77A90AB3373CE" ma:contentTypeVersion="16" ma:contentTypeDescription="Create a new document." ma:contentTypeScope="" ma:versionID="51dd00aae82a404c1d9caa39cf378f5c">
  <xsd:schema xmlns:xsd="http://www.w3.org/2001/XMLSchema" xmlns:xs="http://www.w3.org/2001/XMLSchema" xmlns:p="http://schemas.microsoft.com/office/2006/metadata/properties" xmlns:ns2="decb0fbf-0b34-4676-bcb3-cda58590533e" xmlns:ns3="adbea429-4b31-4fb2-af80-8d1e748823e4" targetNamespace="http://schemas.microsoft.com/office/2006/metadata/properties" ma:root="true" ma:fieldsID="3fe426dd25aa5ffbb5ae5b0260020f05" ns2:_="" ns3:_="">
    <xsd:import namespace="decb0fbf-0b34-4676-bcb3-cda58590533e"/>
    <xsd:import namespace="adbea429-4b31-4fb2-af80-8d1e74882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0fbf-0b34-4676-bcb3-cda585905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13ecb-a4a2-4fa1-aced-b05e22a28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a429-4b31-4fb2-af80-8d1e74882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38438-80c0-49f3-98a7-b148ed553fc8}" ma:internalName="TaxCatchAll" ma:showField="CatchAllData" ma:web="adbea429-4b31-4fb2-af80-8d1e74882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10E9-4898-472B-B277-3F3DCCBC9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7838E-7A4F-43DC-8BFA-4DFEC48BB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0fbf-0b34-4676-bcb3-cda58590533e"/>
    <ds:schemaRef ds:uri="adbea429-4b31-4fb2-af80-8d1e74882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5C1AE-FF70-4A1D-8438-435202F8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6165</Words>
  <Characters>33294</Characters>
  <Application>Microsoft Office Word</Application>
  <DocSecurity>0</DocSecurity>
  <Lines>277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WHO USER</Company>
  <LinksUpToDate>false</LinksUpToDate>
  <CharactersWithSpaces>39381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Olumese;Renshaw Melanie;Fall Soce</dc:creator>
  <cp:lastModifiedBy>em el</cp:lastModifiedBy>
  <cp:revision>6</cp:revision>
  <dcterms:created xsi:type="dcterms:W3CDTF">2022-11-06T16:22:00Z</dcterms:created>
  <dcterms:modified xsi:type="dcterms:W3CDTF">2022-11-17T23:06:00Z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