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5D82" w14:textId="77777777" w:rsidR="00024C96" w:rsidRDefault="004A6B92">
      <w:pPr>
        <w:pStyle w:val="P68B1DB1-Title1"/>
        <w:jc w:val="center"/>
        <w:rPr>
          <w:lang w:val="fr-FR"/>
        </w:rPr>
      </w:pPr>
      <w:r w:rsidRPr="00E740A4">
        <w:rPr>
          <w:lang w:val="fr-FR"/>
        </w:rPr>
        <w:t xml:space="preserve">Analyse des </w:t>
      </w:r>
      <w:r w:rsidR="00876B37">
        <w:rPr>
          <w:lang w:val="fr-FR"/>
        </w:rPr>
        <w:t>éc</w:t>
      </w:r>
      <w:r w:rsidR="003A5743">
        <w:rPr>
          <w:lang w:val="fr-FR"/>
        </w:rPr>
        <w:t>ar</w:t>
      </w:r>
      <w:r w:rsidR="00876B37">
        <w:rPr>
          <w:lang w:val="fr-FR"/>
        </w:rPr>
        <w:t>t</w:t>
      </w:r>
      <w:r w:rsidRPr="00E740A4">
        <w:rPr>
          <w:lang w:val="fr-FR"/>
        </w:rPr>
        <w:t>s d</w:t>
      </w:r>
      <w:r w:rsidR="00E740A4">
        <w:rPr>
          <w:lang w:val="fr-FR"/>
        </w:rPr>
        <w:t>ans</w:t>
      </w:r>
      <w:r w:rsidRPr="00E740A4">
        <w:rPr>
          <w:lang w:val="fr-FR"/>
        </w:rPr>
        <w:t xml:space="preserve"> l</w:t>
      </w:r>
      <w:r w:rsidR="003A5743">
        <w:rPr>
          <w:lang w:val="fr-FR"/>
        </w:rPr>
        <w:t xml:space="preserve">es </w:t>
      </w:r>
      <w:r w:rsidRPr="00E740A4">
        <w:rPr>
          <w:lang w:val="fr-FR"/>
        </w:rPr>
        <w:t>programm</w:t>
      </w:r>
      <w:r w:rsidR="003A5743">
        <w:rPr>
          <w:lang w:val="fr-FR"/>
        </w:rPr>
        <w:t>es</w:t>
      </w:r>
      <w:r w:rsidRPr="00E740A4">
        <w:rPr>
          <w:lang w:val="fr-FR"/>
        </w:rPr>
        <w:t xml:space="preserve"> de</w:t>
      </w:r>
      <w:r w:rsidR="00D701A3">
        <w:rPr>
          <w:lang w:val="fr-FR"/>
        </w:rPr>
        <w:t xml:space="preserve"> </w:t>
      </w:r>
      <w:r w:rsidR="00024C96">
        <w:rPr>
          <w:lang w:val="fr-FR"/>
        </w:rPr>
        <w:t xml:space="preserve">lutte </w:t>
      </w:r>
    </w:p>
    <w:p w14:paraId="0B522456" w14:textId="77777777" w:rsidR="00024C96" w:rsidRDefault="00024C96" w:rsidP="00024C96">
      <w:pPr>
        <w:pStyle w:val="P68B1DB1-Title1"/>
        <w:jc w:val="center"/>
        <w:rPr>
          <w:szCs w:val="36"/>
          <w:lang w:val="fr-FR"/>
        </w:rPr>
      </w:pPr>
      <w:r>
        <w:rPr>
          <w:lang w:val="fr-FR"/>
        </w:rPr>
        <w:t xml:space="preserve">contre le </w:t>
      </w:r>
      <w:r w:rsidR="004A7A70">
        <w:rPr>
          <w:lang w:val="fr-FR"/>
        </w:rPr>
        <w:t>paludisme</w:t>
      </w:r>
      <w:r>
        <w:rPr>
          <w:szCs w:val="36"/>
          <w:lang w:val="fr-FR"/>
        </w:rPr>
        <w:t xml:space="preserve"> </w:t>
      </w:r>
    </w:p>
    <w:p w14:paraId="6C7B2ED7" w14:textId="5B1E2812" w:rsidR="00411942" w:rsidRPr="00E740A4" w:rsidRDefault="004A6B92" w:rsidP="00024C96">
      <w:pPr>
        <w:pStyle w:val="P68B1DB1-Title1"/>
        <w:jc w:val="center"/>
        <w:rPr>
          <w:szCs w:val="36"/>
          <w:lang w:val="fr-FR"/>
        </w:rPr>
      </w:pPr>
      <w:r w:rsidRPr="00E740A4">
        <w:rPr>
          <w:lang w:val="fr-FR"/>
        </w:rPr>
        <w:t>Note d</w:t>
      </w:r>
      <w:r w:rsidR="000B498D">
        <w:rPr>
          <w:lang w:val="fr-FR"/>
        </w:rPr>
        <w:t>’</w:t>
      </w:r>
      <w:r w:rsidRPr="00E740A4">
        <w:rPr>
          <w:lang w:val="fr-FR"/>
        </w:rPr>
        <w:t xml:space="preserve">orientation </w:t>
      </w:r>
      <w:r w:rsidR="00E740A4">
        <w:rPr>
          <w:lang w:val="fr-FR"/>
        </w:rPr>
        <w:t>–</w:t>
      </w:r>
      <w:r w:rsidRPr="00E740A4">
        <w:rPr>
          <w:lang w:val="fr-FR"/>
        </w:rPr>
        <w:t xml:space="preserve"> Novembre 2022</w:t>
      </w:r>
    </w:p>
    <w:p w14:paraId="4CC0CDA3" w14:textId="77777777" w:rsidR="00411942" w:rsidRPr="00E740A4" w:rsidRDefault="004A6B92">
      <w:pPr>
        <w:pStyle w:val="Heading2"/>
        <w:rPr>
          <w:lang w:val="fr-FR"/>
        </w:rPr>
      </w:pPr>
      <w:r w:rsidRPr="00E740A4">
        <w:rPr>
          <w:lang w:val="fr-FR"/>
        </w:rPr>
        <w:t>Introduction</w:t>
      </w:r>
    </w:p>
    <w:p w14:paraId="1B9DD6D6" w14:textId="1243DB73" w:rsidR="00411942" w:rsidRPr="00E740A4" w:rsidRDefault="004A6B92">
      <w:pPr>
        <w:pStyle w:val="P68B1DB1-Normal2"/>
        <w:jc w:val="both"/>
        <w:rPr>
          <w:szCs w:val="20"/>
          <w:lang w:val="fr-FR"/>
        </w:rPr>
      </w:pPr>
      <w:r w:rsidRPr="00E740A4">
        <w:rPr>
          <w:lang w:val="fr-FR"/>
        </w:rPr>
        <w:t xml:space="preserve">Une analyse exhaustive des </w:t>
      </w:r>
      <w:r w:rsidR="00562814">
        <w:rPr>
          <w:lang w:val="fr-FR"/>
        </w:rPr>
        <w:t>écart</w:t>
      </w:r>
      <w:r w:rsidRPr="00E740A4">
        <w:rPr>
          <w:lang w:val="fr-FR"/>
        </w:rPr>
        <w:t xml:space="preserve">s </w:t>
      </w:r>
      <w:r w:rsidR="00562814">
        <w:rPr>
          <w:lang w:val="fr-FR"/>
        </w:rPr>
        <w:t xml:space="preserve">dans les </w:t>
      </w:r>
      <w:r w:rsidRPr="00E740A4">
        <w:rPr>
          <w:lang w:val="fr-FR"/>
        </w:rPr>
        <w:t xml:space="preserve">programmes permet de dévoiler les impératifs programmatiques nécessaires à la pleine mise en œuvre du plan stratégique d’un programme national de lutte contre le paludisme. Elle permet également de repérer les composantes bénéficiant déjà d’un financement et met en lumière les </w:t>
      </w:r>
      <w:r w:rsidR="00876B37">
        <w:rPr>
          <w:lang w:val="fr-FR"/>
        </w:rPr>
        <w:t>déficits</w:t>
      </w:r>
      <w:r w:rsidRPr="00E740A4">
        <w:rPr>
          <w:lang w:val="fr-FR"/>
        </w:rPr>
        <w:t xml:space="preserve"> financie</w:t>
      </w:r>
      <w:r w:rsidR="00876B37">
        <w:rPr>
          <w:lang w:val="fr-FR"/>
        </w:rPr>
        <w:t>r</w:t>
      </w:r>
      <w:r w:rsidRPr="00E740A4">
        <w:rPr>
          <w:lang w:val="fr-FR"/>
        </w:rPr>
        <w:t xml:space="preserve">s, c’est-à-dire les éléments pour lesquels un financement reste à </w:t>
      </w:r>
      <w:r w:rsidR="001B4D58">
        <w:rPr>
          <w:lang w:val="fr-FR"/>
        </w:rPr>
        <w:t>mobiliser</w:t>
      </w:r>
      <w:r w:rsidRPr="00E740A4">
        <w:rPr>
          <w:lang w:val="fr-FR"/>
        </w:rPr>
        <w:t>. L</w:t>
      </w:r>
      <w:r w:rsidR="000B498D">
        <w:rPr>
          <w:lang w:val="fr-FR"/>
        </w:rPr>
        <w:t>’</w:t>
      </w:r>
      <w:r w:rsidRPr="00E740A4">
        <w:rPr>
          <w:lang w:val="fr-FR"/>
        </w:rPr>
        <w:t>analyse porte sur les principales interventions de lutte contre le paludisme, dont la lutte antivectorielle (moustiquaires traitées par les insecticides (MII) et la pulvérisation intradomiciliaire (PID)), la gestion des cas (tests de diagnostic et traitement), la chimiothérapie préventive (traitement préventif intermittent pendant la grossesse</w:t>
      </w:r>
      <w:r w:rsidR="00391C3D">
        <w:rPr>
          <w:lang w:val="fr-FR"/>
        </w:rPr>
        <w:t xml:space="preserve"> </w:t>
      </w:r>
      <w:r w:rsidRPr="00E740A4">
        <w:rPr>
          <w:lang w:val="fr-FR"/>
        </w:rPr>
        <w:t>(</w:t>
      </w:r>
      <w:proofErr w:type="spellStart"/>
      <w:r w:rsidRPr="00E740A4">
        <w:rPr>
          <w:lang w:val="fr-FR"/>
        </w:rPr>
        <w:t>TPIg</w:t>
      </w:r>
      <w:proofErr w:type="spellEnd"/>
      <w:r w:rsidRPr="00E740A4">
        <w:rPr>
          <w:lang w:val="fr-FR"/>
        </w:rPr>
        <w:t xml:space="preserve">), la </w:t>
      </w:r>
      <w:proofErr w:type="spellStart"/>
      <w:r w:rsidRPr="00E740A4">
        <w:rPr>
          <w:lang w:val="fr-FR"/>
        </w:rPr>
        <w:t>chimioprévention</w:t>
      </w:r>
      <w:proofErr w:type="spellEnd"/>
      <w:r w:rsidRPr="00E740A4">
        <w:rPr>
          <w:lang w:val="fr-FR"/>
        </w:rPr>
        <w:t xml:space="preserve"> du paludisme saisonnier (CPS) ainsi que les activités de soutien nécessaires pour déployer et surveiller efficacement ces interventions, telles que les capacités de gestion, la formation, le changement social et comportemental, et le suivi et l</w:t>
      </w:r>
      <w:r w:rsidR="000B498D">
        <w:rPr>
          <w:lang w:val="fr-FR"/>
        </w:rPr>
        <w:t>’</w:t>
      </w:r>
      <w:r w:rsidRPr="00E740A4">
        <w:rPr>
          <w:lang w:val="fr-FR"/>
        </w:rPr>
        <w:t xml:space="preserve">évaluation. L’analyse des </w:t>
      </w:r>
      <w:r w:rsidR="00F203CF">
        <w:rPr>
          <w:lang w:val="fr-FR"/>
        </w:rPr>
        <w:t>écart</w:t>
      </w:r>
      <w:r w:rsidRPr="00E740A4">
        <w:rPr>
          <w:lang w:val="fr-FR"/>
        </w:rPr>
        <w:t>s repose sur une approche factuelle de la planification et de la programmation à partir des objectifs et des stratégies décrits dans le plan stratégique national de lutte contre le paludisme (PSN).</w:t>
      </w:r>
    </w:p>
    <w:p w14:paraId="7F8A6CA0" w14:textId="77777777" w:rsidR="00411942" w:rsidRPr="00E740A4" w:rsidRDefault="004A6B92">
      <w:pPr>
        <w:pStyle w:val="Heading2"/>
        <w:rPr>
          <w:lang w:val="fr-FR"/>
        </w:rPr>
      </w:pPr>
      <w:r w:rsidRPr="00E740A4">
        <w:rPr>
          <w:lang w:val="fr-FR"/>
        </w:rPr>
        <w:t>Définition</w:t>
      </w:r>
    </w:p>
    <w:p w14:paraId="5C237C4D" w14:textId="50467317" w:rsidR="00411942" w:rsidRPr="00E740A4" w:rsidRDefault="004A6B92">
      <w:pPr>
        <w:pStyle w:val="P68B1DB1-Normal2"/>
        <w:spacing w:before="120"/>
        <w:jc w:val="both"/>
        <w:rPr>
          <w:szCs w:val="20"/>
          <w:lang w:val="fr-FR"/>
        </w:rPr>
      </w:pPr>
      <w:r w:rsidRPr="00E740A4">
        <w:rPr>
          <w:b/>
          <w:i/>
          <w:color w:val="4F81BD" w:themeColor="accent1"/>
          <w:lang w:val="fr-FR"/>
        </w:rPr>
        <w:t xml:space="preserve">Les </w:t>
      </w:r>
      <w:r w:rsidR="00F203CF">
        <w:rPr>
          <w:b/>
          <w:i/>
          <w:color w:val="4F81BD" w:themeColor="accent1"/>
          <w:lang w:val="fr-FR"/>
        </w:rPr>
        <w:t>écart</w:t>
      </w:r>
      <w:r w:rsidRPr="00E740A4">
        <w:rPr>
          <w:b/>
          <w:i/>
          <w:color w:val="4F81BD" w:themeColor="accent1"/>
          <w:lang w:val="fr-FR"/>
        </w:rPr>
        <w:t>s programmatiques</w:t>
      </w:r>
      <w:r w:rsidRPr="00E740A4">
        <w:rPr>
          <w:lang w:val="fr-FR"/>
        </w:rPr>
        <w:t xml:space="preserve"> correspondent aux services et produits essentiels nécessaires pour combler l’écart entre la couverture à un moment donné et les objectifs prévus d’une intervention </w:t>
      </w:r>
      <w:r w:rsidR="001B4D58" w:rsidRPr="00E740A4">
        <w:rPr>
          <w:lang w:val="fr-FR"/>
        </w:rPr>
        <w:t xml:space="preserve">particulière </w:t>
      </w:r>
      <w:r w:rsidRPr="00E740A4">
        <w:rPr>
          <w:lang w:val="fr-FR"/>
        </w:rPr>
        <w:t xml:space="preserve">de lutte contre le paludisme. Par services, on entend </w:t>
      </w:r>
      <w:r w:rsidR="00536682">
        <w:rPr>
          <w:lang w:val="fr-FR"/>
        </w:rPr>
        <w:t xml:space="preserve">les </w:t>
      </w:r>
      <w:r w:rsidRPr="00E740A4">
        <w:rPr>
          <w:lang w:val="fr-FR"/>
        </w:rPr>
        <w:t xml:space="preserve">activités techniques et </w:t>
      </w:r>
      <w:r w:rsidR="00536682">
        <w:rPr>
          <w:lang w:val="fr-FR"/>
        </w:rPr>
        <w:t xml:space="preserve">les </w:t>
      </w:r>
      <w:r w:rsidRPr="00E740A4">
        <w:rPr>
          <w:lang w:val="fr-FR"/>
        </w:rPr>
        <w:t>actions de soutien.</w:t>
      </w:r>
    </w:p>
    <w:p w14:paraId="22333871" w14:textId="2A8C62BA" w:rsidR="00411942" w:rsidRPr="00E740A4" w:rsidRDefault="001B2537">
      <w:pPr>
        <w:pStyle w:val="P68B1DB1-Normal2"/>
        <w:spacing w:before="120"/>
        <w:jc w:val="both"/>
        <w:rPr>
          <w:szCs w:val="20"/>
          <w:lang w:val="fr-FR"/>
        </w:rPr>
      </w:pPr>
      <w:r>
        <w:rPr>
          <w:b/>
          <w:i/>
          <w:color w:val="4F81BD" w:themeColor="accent1"/>
          <w:lang w:val="fr-FR"/>
        </w:rPr>
        <w:t>Le déficit</w:t>
      </w:r>
      <w:r w:rsidRPr="00E740A4">
        <w:rPr>
          <w:b/>
          <w:i/>
          <w:color w:val="4F81BD" w:themeColor="accent1"/>
          <w:lang w:val="fr-FR"/>
        </w:rPr>
        <w:t xml:space="preserve"> financier</w:t>
      </w:r>
      <w:r w:rsidRPr="00E740A4">
        <w:rPr>
          <w:lang w:val="fr-FR"/>
        </w:rPr>
        <w:t xml:space="preserve"> représente la différence entre les ressources financières disponibles (ou les ressources disponibles prévues) et le total des ressources nécessaires pour combler les lacunes programmatiques. Une analyse exhaustive des lacunes programmatiques s’avère donc nécessaire pour documenter l’estimation de ressources aux fins de l’analyse des</w:t>
      </w:r>
      <w:r w:rsidR="00CD373D">
        <w:rPr>
          <w:lang w:val="fr-FR"/>
        </w:rPr>
        <w:t xml:space="preserve"> écart</w:t>
      </w:r>
      <w:r w:rsidRPr="00E740A4">
        <w:rPr>
          <w:lang w:val="fr-FR"/>
        </w:rPr>
        <w:t>s financie</w:t>
      </w:r>
      <w:r w:rsidR="00107946">
        <w:rPr>
          <w:lang w:val="fr-FR"/>
        </w:rPr>
        <w:t>r</w:t>
      </w:r>
      <w:r w:rsidRPr="00E740A4">
        <w:rPr>
          <w:lang w:val="fr-FR"/>
        </w:rPr>
        <w:t>s.</w:t>
      </w:r>
    </w:p>
    <w:p w14:paraId="4EC78FF9" w14:textId="77777777" w:rsidR="00411942" w:rsidRPr="00E740A4" w:rsidRDefault="004A6B92">
      <w:pPr>
        <w:pStyle w:val="P68B1DB1-Heading23"/>
        <w:spacing w:before="120"/>
        <w:rPr>
          <w:szCs w:val="20"/>
          <w:lang w:val="fr-FR"/>
        </w:rPr>
      </w:pPr>
      <w:r w:rsidRPr="00E740A4">
        <w:rPr>
          <w:lang w:val="fr-FR"/>
        </w:rPr>
        <w:t>Principes directeurs</w:t>
      </w:r>
    </w:p>
    <w:p w14:paraId="4D544F5A" w14:textId="5D9C3D4B" w:rsidR="00411942" w:rsidRPr="00A039EA" w:rsidRDefault="004A6B92">
      <w:pPr>
        <w:pStyle w:val="P68B1DB1-Normal2"/>
        <w:spacing w:before="120"/>
        <w:jc w:val="both"/>
        <w:rPr>
          <w:szCs w:val="20"/>
          <w:lang w:val="fr-FR"/>
        </w:rPr>
      </w:pPr>
      <w:r w:rsidRPr="00E740A4">
        <w:rPr>
          <w:b/>
          <w:i/>
          <w:lang w:val="fr-FR"/>
        </w:rPr>
        <w:t>Factualité</w:t>
      </w:r>
      <w:r w:rsidRPr="00E740A4">
        <w:rPr>
          <w:lang w:val="fr-FR"/>
        </w:rPr>
        <w:t> : des données/informations précises et détaillées sont nécessaires</w:t>
      </w:r>
      <w:r w:rsidR="00A039EA">
        <w:rPr>
          <w:lang w:val="fr-FR"/>
        </w:rPr>
        <w:t xml:space="preserve"> pour assurer</w:t>
      </w:r>
      <w:r w:rsidRPr="00E740A4">
        <w:rPr>
          <w:lang w:val="fr-FR"/>
        </w:rPr>
        <w:t xml:space="preserve"> la crédibilité de l’analyse des </w:t>
      </w:r>
      <w:r w:rsidR="00A039EA">
        <w:rPr>
          <w:lang w:val="fr-FR"/>
        </w:rPr>
        <w:t>manqu</w:t>
      </w:r>
      <w:r w:rsidRPr="00E740A4">
        <w:rPr>
          <w:lang w:val="fr-FR"/>
        </w:rPr>
        <w:t xml:space="preserve">es. </w:t>
      </w:r>
      <w:r w:rsidRPr="00A039EA">
        <w:rPr>
          <w:lang w:val="fr-FR"/>
        </w:rPr>
        <w:t xml:space="preserve">Parmi les données probantes pertinentes, </w:t>
      </w:r>
      <w:r w:rsidR="00D9476E" w:rsidRPr="00A039EA">
        <w:rPr>
          <w:lang w:val="fr-FR"/>
        </w:rPr>
        <w:t xml:space="preserve">l’on peut </w:t>
      </w:r>
      <w:r w:rsidRPr="00A039EA">
        <w:rPr>
          <w:lang w:val="fr-FR"/>
        </w:rPr>
        <w:t>cit</w:t>
      </w:r>
      <w:r w:rsidR="00D9476E" w:rsidRPr="00A039EA">
        <w:rPr>
          <w:lang w:val="fr-FR"/>
        </w:rPr>
        <w:t>er</w:t>
      </w:r>
      <w:r w:rsidRPr="00A039EA">
        <w:rPr>
          <w:lang w:val="fr-FR"/>
        </w:rPr>
        <w:t> :</w:t>
      </w:r>
    </w:p>
    <w:p w14:paraId="36750FFB" w14:textId="79982241" w:rsidR="00411942" w:rsidRPr="00E740A4" w:rsidRDefault="004A6B92">
      <w:pPr>
        <w:pStyle w:val="P68B1DB1-ListParagraph4"/>
        <w:numPr>
          <w:ilvl w:val="0"/>
          <w:numId w:val="10"/>
        </w:numPr>
        <w:spacing w:before="120"/>
        <w:jc w:val="both"/>
        <w:rPr>
          <w:szCs w:val="20"/>
          <w:lang w:val="fr-FR"/>
        </w:rPr>
      </w:pPr>
      <w:r w:rsidRPr="00E740A4">
        <w:rPr>
          <w:lang w:val="fr-FR"/>
        </w:rPr>
        <w:t>les données et expériences rétrospectives acquises lors de la mise en œuvre de programmes précédents ;</w:t>
      </w:r>
    </w:p>
    <w:p w14:paraId="43F2D352" w14:textId="11DFEDD5" w:rsidR="00411942" w:rsidRPr="00E740A4" w:rsidRDefault="00A039EA">
      <w:pPr>
        <w:pStyle w:val="P68B1DB1-ListParagraph4"/>
        <w:numPr>
          <w:ilvl w:val="0"/>
          <w:numId w:val="10"/>
        </w:numPr>
        <w:spacing w:before="120"/>
        <w:jc w:val="both"/>
        <w:rPr>
          <w:szCs w:val="20"/>
          <w:lang w:val="fr-FR"/>
        </w:rPr>
      </w:pPr>
      <w:r>
        <w:rPr>
          <w:lang w:val="fr-FR"/>
        </w:rPr>
        <w:t>les d</w:t>
      </w:r>
      <w:r w:rsidRPr="00E740A4">
        <w:rPr>
          <w:lang w:val="fr-FR"/>
        </w:rPr>
        <w:t>onnées démographiques et épidémiologiques ventilées par tranche d</w:t>
      </w:r>
      <w:r w:rsidR="000B498D">
        <w:rPr>
          <w:lang w:val="fr-FR"/>
        </w:rPr>
        <w:t>’</w:t>
      </w:r>
      <w:r w:rsidRPr="00E740A4">
        <w:rPr>
          <w:lang w:val="fr-FR"/>
        </w:rPr>
        <w:t>âge et localisation géographique (population par district, milieu urbain et rural, etc.)</w:t>
      </w:r>
    </w:p>
    <w:p w14:paraId="0110AC07" w14:textId="519FE099" w:rsidR="00411942" w:rsidRPr="00E740A4" w:rsidRDefault="00A039EA">
      <w:pPr>
        <w:pStyle w:val="P68B1DB1-ListParagraph4"/>
        <w:numPr>
          <w:ilvl w:val="0"/>
          <w:numId w:val="10"/>
        </w:numPr>
        <w:spacing w:before="120"/>
        <w:jc w:val="both"/>
        <w:rPr>
          <w:szCs w:val="20"/>
          <w:lang w:val="fr-FR"/>
        </w:rPr>
      </w:pPr>
      <w:r>
        <w:rPr>
          <w:lang w:val="fr-FR"/>
        </w:rPr>
        <w:t>l</w:t>
      </w:r>
      <w:r w:rsidRPr="00E740A4">
        <w:rPr>
          <w:lang w:val="fr-FR"/>
        </w:rPr>
        <w:t>es renseignements à jour sur l’avancement de la mise en œuvre des interventions en cours ;</w:t>
      </w:r>
    </w:p>
    <w:p w14:paraId="55A1C109" w14:textId="2CD4FFE8" w:rsidR="00411942" w:rsidRPr="00E740A4" w:rsidRDefault="006C5915">
      <w:pPr>
        <w:pStyle w:val="P68B1DB1-ListParagraph4"/>
        <w:numPr>
          <w:ilvl w:val="0"/>
          <w:numId w:val="10"/>
        </w:numPr>
        <w:spacing w:before="120"/>
        <w:jc w:val="both"/>
        <w:rPr>
          <w:szCs w:val="20"/>
          <w:lang w:val="fr-FR"/>
        </w:rPr>
      </w:pPr>
      <w:r>
        <w:rPr>
          <w:lang w:val="fr-FR"/>
        </w:rPr>
        <w:t>d</w:t>
      </w:r>
      <w:r w:rsidRPr="00E740A4">
        <w:rPr>
          <w:lang w:val="fr-FR"/>
        </w:rPr>
        <w:t xml:space="preserve">es informations concernant la situation du financement effectif et potentiel à l’échelle nationale, qui serviront à dégager une analyse crédible des </w:t>
      </w:r>
      <w:r>
        <w:rPr>
          <w:lang w:val="fr-FR"/>
        </w:rPr>
        <w:t>déficit</w:t>
      </w:r>
      <w:r w:rsidRPr="00E740A4">
        <w:rPr>
          <w:lang w:val="fr-FR"/>
        </w:rPr>
        <w:t>s financie</w:t>
      </w:r>
      <w:r>
        <w:rPr>
          <w:lang w:val="fr-FR"/>
        </w:rPr>
        <w:t>r</w:t>
      </w:r>
      <w:r w:rsidRPr="00E740A4">
        <w:rPr>
          <w:lang w:val="fr-FR"/>
        </w:rPr>
        <w:t>s à partir d’une analyse programmatique.</w:t>
      </w:r>
    </w:p>
    <w:p w14:paraId="345F9048" w14:textId="222794A5" w:rsidR="00411942" w:rsidRPr="00E740A4" w:rsidRDefault="004A6B92">
      <w:pPr>
        <w:pStyle w:val="P68B1DB1-Normal2"/>
        <w:spacing w:before="120"/>
        <w:jc w:val="both"/>
        <w:rPr>
          <w:szCs w:val="20"/>
          <w:lang w:val="fr-FR"/>
        </w:rPr>
      </w:pPr>
      <w:r w:rsidRPr="00E740A4">
        <w:rPr>
          <w:b/>
          <w:i/>
          <w:lang w:val="fr-FR"/>
        </w:rPr>
        <w:t>Harmonisation et cohérence</w:t>
      </w:r>
      <w:r w:rsidRPr="00E740A4">
        <w:rPr>
          <w:lang w:val="fr-FR"/>
        </w:rPr>
        <w:t xml:space="preserve"> : l’analyse des </w:t>
      </w:r>
      <w:r w:rsidR="006C5915">
        <w:rPr>
          <w:lang w:val="fr-FR"/>
        </w:rPr>
        <w:t>écart</w:t>
      </w:r>
      <w:r w:rsidRPr="00E740A4">
        <w:rPr>
          <w:lang w:val="fr-FR"/>
        </w:rPr>
        <w:t xml:space="preserve">s s’appuie sur le plan stratégique national. La coordination, l’harmonisation et le partage des informations entre partenaires ouvriront la voie à un consensus sur les </w:t>
      </w:r>
      <w:r w:rsidR="00F76CC7">
        <w:rPr>
          <w:lang w:val="fr-FR"/>
        </w:rPr>
        <w:t>écart</w:t>
      </w:r>
      <w:r w:rsidRPr="00E740A4">
        <w:rPr>
          <w:lang w:val="fr-FR"/>
        </w:rPr>
        <w:t>s programmatiques et financie</w:t>
      </w:r>
      <w:r w:rsidR="00F76CC7">
        <w:rPr>
          <w:lang w:val="fr-FR"/>
        </w:rPr>
        <w:t>r</w:t>
      </w:r>
      <w:r w:rsidRPr="00E740A4">
        <w:rPr>
          <w:lang w:val="fr-FR"/>
        </w:rPr>
        <w:t xml:space="preserve">s. L’analyse des </w:t>
      </w:r>
      <w:r w:rsidR="00F02AF7">
        <w:rPr>
          <w:lang w:val="fr-FR"/>
        </w:rPr>
        <w:t>écart</w:t>
      </w:r>
      <w:r w:rsidRPr="00E740A4">
        <w:rPr>
          <w:lang w:val="fr-FR"/>
        </w:rPr>
        <w:t xml:space="preserve">s </w:t>
      </w:r>
      <w:r w:rsidR="00F02AF7">
        <w:rPr>
          <w:lang w:val="fr-FR"/>
        </w:rPr>
        <w:t xml:space="preserve">dans les </w:t>
      </w:r>
      <w:r w:rsidRPr="00E740A4">
        <w:rPr>
          <w:lang w:val="fr-FR"/>
        </w:rPr>
        <w:t>programmes fait partie intégrante du cycle de planification et de mise en œuvre de</w:t>
      </w:r>
      <w:r w:rsidR="00F02AF7">
        <w:rPr>
          <w:lang w:val="fr-FR"/>
        </w:rPr>
        <w:t xml:space="preserve"> ce</w:t>
      </w:r>
      <w:r w:rsidRPr="00E740A4">
        <w:rPr>
          <w:lang w:val="fr-FR"/>
        </w:rPr>
        <w:t>s programmes, et n’est pas un exercice autonome. Elle doit être mise à jour régulièrement, lorsque de nouvelles informations deviennent disponibles.</w:t>
      </w:r>
    </w:p>
    <w:p w14:paraId="0E25D3E9" w14:textId="67487578" w:rsidR="00411942" w:rsidRPr="00E740A4" w:rsidRDefault="004A6B92">
      <w:pPr>
        <w:pStyle w:val="P68B1DB1-Normal2"/>
        <w:spacing w:before="120"/>
        <w:jc w:val="both"/>
        <w:rPr>
          <w:szCs w:val="20"/>
          <w:lang w:val="fr-FR"/>
        </w:rPr>
      </w:pPr>
      <w:r w:rsidRPr="00E740A4">
        <w:rPr>
          <w:b/>
          <w:i/>
          <w:lang w:val="fr-FR"/>
        </w:rPr>
        <w:t>Équité</w:t>
      </w:r>
      <w:r w:rsidRPr="00E740A4">
        <w:rPr>
          <w:lang w:val="fr-FR"/>
        </w:rPr>
        <w:t> : dans le cadre de l’évaluation de la couverture apportée par les interventions, il est important que le programme national de lutte contre le paludisme identifie toute disparité liée au sexe, à la situation géographique, à des groupes de population ou des tranches d’âge particuliers si l’on veut que les stratégies de mise en œuvre recommandées soient exhaustives et équitables. Une attention particulière doit être accordée aux populations les plus vulnérables et aux groupes difficiles à atteindre, tels que les réfugiés et les personnes déplacées dans leur propre pays.</w:t>
      </w:r>
    </w:p>
    <w:p w14:paraId="04878E34" w14:textId="20618F60" w:rsidR="00411942" w:rsidRPr="00E740A4" w:rsidRDefault="004A6B92">
      <w:pPr>
        <w:pStyle w:val="P68B1DB1-Normal2"/>
        <w:spacing w:before="120"/>
        <w:jc w:val="both"/>
        <w:rPr>
          <w:szCs w:val="20"/>
          <w:lang w:val="fr-FR"/>
        </w:rPr>
      </w:pPr>
      <w:r w:rsidRPr="00E740A4">
        <w:rPr>
          <w:b/>
          <w:i/>
          <w:lang w:val="fr-FR"/>
        </w:rPr>
        <w:lastRenderedPageBreak/>
        <w:t>Transparence et responsabilité</w:t>
      </w:r>
      <w:r w:rsidRPr="00E740A4">
        <w:rPr>
          <w:lang w:val="fr-FR"/>
        </w:rPr>
        <w:t> : un partage transparent des informations entre les responsables du programme de lutte contre le paludisme et leurs partenaires permettra d’éviter un chevauchement des efforts, une utilisation efficace des ressources et d’assurer une redevabilité mutuelle.</w:t>
      </w:r>
    </w:p>
    <w:p w14:paraId="5F670574" w14:textId="07E34103" w:rsidR="00411942" w:rsidRPr="00E740A4" w:rsidRDefault="004A6B92">
      <w:pPr>
        <w:pStyle w:val="Heading2"/>
        <w:rPr>
          <w:lang w:val="fr-FR"/>
        </w:rPr>
      </w:pPr>
      <w:r w:rsidRPr="00E740A4">
        <w:rPr>
          <w:lang w:val="fr-FR"/>
        </w:rPr>
        <w:t xml:space="preserve">Méthodes d’analyse des </w:t>
      </w:r>
      <w:r w:rsidR="00421799">
        <w:rPr>
          <w:lang w:val="fr-FR"/>
        </w:rPr>
        <w:t>écart</w:t>
      </w:r>
      <w:r w:rsidRPr="00E740A4">
        <w:rPr>
          <w:lang w:val="fr-FR"/>
        </w:rPr>
        <w:t>s d</w:t>
      </w:r>
      <w:r w:rsidR="00421799">
        <w:rPr>
          <w:lang w:val="fr-FR"/>
        </w:rPr>
        <w:t>ans l</w:t>
      </w:r>
      <w:r w:rsidRPr="00E740A4">
        <w:rPr>
          <w:lang w:val="fr-FR"/>
        </w:rPr>
        <w:t>es programmes de lutte contre le paludisme</w:t>
      </w:r>
    </w:p>
    <w:p w14:paraId="5C41B916" w14:textId="2A58CCA9" w:rsidR="00411942" w:rsidRPr="000B498D" w:rsidRDefault="004A6B92">
      <w:pPr>
        <w:pStyle w:val="P68B1DB1-Normal2"/>
        <w:spacing w:before="120"/>
        <w:jc w:val="both"/>
        <w:rPr>
          <w:szCs w:val="20"/>
          <w:lang w:val="fr-FR"/>
        </w:rPr>
      </w:pPr>
      <w:r w:rsidRPr="00E740A4">
        <w:rPr>
          <w:lang w:val="fr-FR"/>
        </w:rPr>
        <w:t>Le Comité de partenaires chargé du soutien régional et par pays (CRSPC) du Partenariat RBM recommande tous les pays de procéder à une évaluation exhaustive de la performance de leur</w:t>
      </w:r>
      <w:r w:rsidR="00176BDB">
        <w:rPr>
          <w:lang w:val="fr-FR"/>
        </w:rPr>
        <w:t>s</w:t>
      </w:r>
      <w:r w:rsidRPr="00E740A4">
        <w:rPr>
          <w:lang w:val="fr-FR"/>
        </w:rPr>
        <w:t xml:space="preserve"> programme</w:t>
      </w:r>
      <w:r w:rsidR="00176BDB">
        <w:rPr>
          <w:lang w:val="fr-FR"/>
        </w:rPr>
        <w:t>s</w:t>
      </w:r>
      <w:r w:rsidRPr="00E740A4">
        <w:rPr>
          <w:lang w:val="fr-FR"/>
        </w:rPr>
        <w:t xml:space="preserve">, qui servira de point de départ à un plan stratégique national factuel. Afin de faciliter l’analyse des </w:t>
      </w:r>
      <w:r w:rsidR="00176BDB">
        <w:rPr>
          <w:lang w:val="fr-FR"/>
        </w:rPr>
        <w:t>écart</w:t>
      </w:r>
      <w:r w:rsidRPr="00E740A4">
        <w:rPr>
          <w:lang w:val="fr-FR"/>
        </w:rPr>
        <w:t>s, le CRSPC recommande l’élaboration d’un plan/mise en œuvre pluriannuel et d’un plan opérationnel annuel (pour orienter le travail au quotidien) provenant du Plan stratégique national. Les résultats des processus de stratification et d</w:t>
      </w:r>
      <w:r w:rsidR="000B498D">
        <w:rPr>
          <w:lang w:val="fr-FR"/>
        </w:rPr>
        <w:t>’</w:t>
      </w:r>
      <w:r w:rsidRPr="00E740A4">
        <w:rPr>
          <w:lang w:val="fr-FR"/>
        </w:rPr>
        <w:t xml:space="preserve">adaptation infranationaux doivent être utilisés pour justifier l’établissement des priorités dans les interventions et les zones géographiques, en particulier lorsque les ressources sont insuffisantes pour couvrir tous les besoins. </w:t>
      </w:r>
      <w:r w:rsidRPr="000B498D">
        <w:rPr>
          <w:lang w:val="fr-FR"/>
        </w:rPr>
        <w:t>Les étapes suivantes sont recommandées :</w:t>
      </w:r>
    </w:p>
    <w:p w14:paraId="60665702" w14:textId="14E2945A" w:rsidR="00411942" w:rsidRPr="000B498D" w:rsidRDefault="004A6B92">
      <w:pPr>
        <w:pStyle w:val="P68B1DB1-Normal2"/>
        <w:spacing w:before="120"/>
        <w:jc w:val="both"/>
        <w:rPr>
          <w:szCs w:val="20"/>
          <w:lang w:val="fr-FR"/>
        </w:rPr>
      </w:pPr>
      <w:r w:rsidRPr="000B498D">
        <w:rPr>
          <w:lang w:val="fr-FR"/>
        </w:rPr>
        <w:t>1. Identifier les besoins programmatiques</w:t>
      </w:r>
    </w:p>
    <w:p w14:paraId="5124D5A5" w14:textId="094A5D48" w:rsidR="00411942" w:rsidRPr="00E740A4" w:rsidRDefault="004A6B92">
      <w:pPr>
        <w:pStyle w:val="P68B1DB1-ListParagraph4"/>
        <w:numPr>
          <w:ilvl w:val="0"/>
          <w:numId w:val="5"/>
        </w:numPr>
        <w:spacing w:before="120"/>
        <w:jc w:val="both"/>
        <w:rPr>
          <w:szCs w:val="20"/>
          <w:lang w:val="fr-FR"/>
        </w:rPr>
      </w:pPr>
      <w:r w:rsidRPr="00E740A4">
        <w:rPr>
          <w:lang w:val="fr-FR"/>
        </w:rPr>
        <w:t>Utiliser des données épidémiologiques précises sur la population nationale et le paludisme, mettre à jour la stratification et la population à risque (par tranche d’âge, sexe et répartition géographique). Lorsque le recensement de la population date de plus de cinq ans, considérer la possibilité d’ajouter une</w:t>
      </w:r>
      <w:r w:rsidR="00AD2152">
        <w:rPr>
          <w:lang w:val="fr-FR"/>
        </w:rPr>
        <w:t xml:space="preserve"> quantité</w:t>
      </w:r>
      <w:r w:rsidRPr="00E740A4">
        <w:rPr>
          <w:lang w:val="fr-FR"/>
        </w:rPr>
        <w:t xml:space="preserve"> tampon de 10 %</w:t>
      </w:r>
    </w:p>
    <w:p w14:paraId="0D2506B1" w14:textId="3F20C946" w:rsidR="00411942" w:rsidRPr="00E740A4" w:rsidRDefault="004A6B92">
      <w:pPr>
        <w:pStyle w:val="P68B1DB1-ListParagraph4"/>
        <w:numPr>
          <w:ilvl w:val="0"/>
          <w:numId w:val="5"/>
        </w:numPr>
        <w:spacing w:before="120"/>
        <w:jc w:val="both"/>
        <w:rPr>
          <w:szCs w:val="20"/>
          <w:lang w:val="fr-FR"/>
        </w:rPr>
      </w:pPr>
      <w:r w:rsidRPr="00E740A4">
        <w:rPr>
          <w:lang w:val="fr-FR"/>
        </w:rPr>
        <w:t>Utilis</w:t>
      </w:r>
      <w:r w:rsidR="00DC443B">
        <w:rPr>
          <w:lang w:val="fr-FR"/>
        </w:rPr>
        <w:t>er</w:t>
      </w:r>
      <w:r w:rsidRPr="00E740A4">
        <w:rPr>
          <w:lang w:val="fr-FR"/>
        </w:rPr>
        <w:t xml:space="preserve"> des objectifs et des interventions décrits dans le plan stratégique national et basés sur les meilleures données épidémiologiques disponibles (y compris la stratification infranationale) pour identifier les zones géographiques et les populations vulnérables susceptibles de bénéficier de chaque approche envers les interventions</w:t>
      </w:r>
    </w:p>
    <w:p w14:paraId="607E6F6B" w14:textId="440C5094" w:rsidR="00411942" w:rsidRPr="00E740A4" w:rsidRDefault="004A6B92">
      <w:pPr>
        <w:pStyle w:val="ListParagraph"/>
        <w:numPr>
          <w:ilvl w:val="0"/>
          <w:numId w:val="5"/>
        </w:numPr>
        <w:spacing w:before="120"/>
        <w:jc w:val="both"/>
        <w:rPr>
          <w:rFonts w:ascii="Arial" w:hAnsi="Arial" w:cs="Arial"/>
          <w:sz w:val="20"/>
          <w:szCs w:val="20"/>
          <w:lang w:val="fr-FR"/>
        </w:rPr>
      </w:pPr>
      <w:r w:rsidRPr="00E740A4">
        <w:rPr>
          <w:rFonts w:ascii="Arial" w:hAnsi="Arial" w:cs="Arial"/>
          <w:sz w:val="20"/>
          <w:lang w:val="fr-FR"/>
        </w:rPr>
        <w:t>Formulation d’</w:t>
      </w:r>
      <w:r w:rsidR="00662253" w:rsidRPr="00662253">
        <w:rPr>
          <w:rFonts w:ascii="Arial" w:hAnsi="Arial" w:cs="Arial"/>
          <w:sz w:val="20"/>
          <w:lang w:val="fr-FR"/>
        </w:rPr>
        <w:t>objectifs et d’indicateurs SMART</w:t>
      </w:r>
      <w:r>
        <w:rPr>
          <w:rStyle w:val="FootnoteReference"/>
          <w:rFonts w:ascii="Arial" w:hAnsi="Arial" w:cs="Arial"/>
        </w:rPr>
        <w:footnoteReference w:id="1"/>
      </w:r>
      <w:r w:rsidRPr="00E740A4">
        <w:rPr>
          <w:rFonts w:ascii="Arial" w:hAnsi="Arial" w:cs="Arial"/>
          <w:sz w:val="20"/>
          <w:lang w:val="fr-FR"/>
        </w:rPr>
        <w:t xml:space="preserve"> (le cadre de performances du plan stratégique national doit être la principale référence)</w:t>
      </w:r>
    </w:p>
    <w:p w14:paraId="6D8541C5" w14:textId="445C18DD" w:rsidR="00411942" w:rsidRPr="00E740A4" w:rsidRDefault="004A6B92">
      <w:pPr>
        <w:pStyle w:val="P68B1DB1-ListParagraph4"/>
        <w:numPr>
          <w:ilvl w:val="0"/>
          <w:numId w:val="2"/>
        </w:numPr>
        <w:spacing w:before="120"/>
        <w:jc w:val="both"/>
        <w:rPr>
          <w:szCs w:val="20"/>
          <w:lang w:val="fr-FR"/>
        </w:rPr>
      </w:pPr>
      <w:r w:rsidRPr="00E740A4">
        <w:rPr>
          <w:lang w:val="fr-FR"/>
        </w:rPr>
        <w:t>Élabor</w:t>
      </w:r>
      <w:r w:rsidR="00971680">
        <w:rPr>
          <w:lang w:val="fr-FR"/>
        </w:rPr>
        <w:t>er</w:t>
      </w:r>
      <w:r w:rsidRPr="00E740A4">
        <w:rPr>
          <w:lang w:val="fr-FR"/>
        </w:rPr>
        <w:t xml:space="preserve"> un plan de mise en œuvre pluriannuel proposant des cibles annuelles quantifiées</w:t>
      </w:r>
    </w:p>
    <w:p w14:paraId="2725AF3F" w14:textId="62D30876" w:rsidR="00411942" w:rsidRPr="00E740A4" w:rsidRDefault="004A6B92">
      <w:pPr>
        <w:pStyle w:val="P68B1DB1-ListParagraph4"/>
        <w:numPr>
          <w:ilvl w:val="0"/>
          <w:numId w:val="2"/>
        </w:numPr>
        <w:spacing w:before="120"/>
        <w:jc w:val="both"/>
        <w:rPr>
          <w:szCs w:val="20"/>
          <w:lang w:val="fr-FR"/>
        </w:rPr>
      </w:pPr>
      <w:r w:rsidRPr="00E740A4">
        <w:rPr>
          <w:lang w:val="fr-FR"/>
        </w:rPr>
        <w:t>Décrire les approches ou stratégies de la prestation de services pour mettre en œuvre les principales interventions</w:t>
      </w:r>
    </w:p>
    <w:p w14:paraId="6BC0C8AB" w14:textId="46A66566" w:rsidR="00411942" w:rsidRPr="00E740A4" w:rsidRDefault="00DE3CFF">
      <w:pPr>
        <w:pStyle w:val="P68B1DB1-ListParagraph4"/>
        <w:numPr>
          <w:ilvl w:val="0"/>
          <w:numId w:val="6"/>
        </w:numPr>
        <w:spacing w:before="120"/>
        <w:jc w:val="both"/>
        <w:rPr>
          <w:szCs w:val="20"/>
          <w:lang w:val="fr-FR"/>
        </w:rPr>
      </w:pPr>
      <w:r>
        <w:rPr>
          <w:lang w:val="fr-FR"/>
        </w:rPr>
        <w:t>Établir</w:t>
      </w:r>
      <w:r w:rsidRPr="00E740A4">
        <w:rPr>
          <w:lang w:val="fr-FR"/>
        </w:rPr>
        <w:t xml:space="preserve"> les </w:t>
      </w:r>
      <w:r w:rsidR="003A49BC">
        <w:rPr>
          <w:lang w:val="fr-FR"/>
        </w:rPr>
        <w:t>prestation</w:t>
      </w:r>
      <w:r w:rsidR="00F64EB7">
        <w:rPr>
          <w:lang w:val="fr-FR"/>
        </w:rPr>
        <w:t>s</w:t>
      </w:r>
      <w:r w:rsidRPr="00E740A4">
        <w:rPr>
          <w:lang w:val="fr-FR"/>
        </w:rPr>
        <w:t xml:space="preserve"> essentiel</w:t>
      </w:r>
      <w:r w:rsidR="00F64EB7">
        <w:rPr>
          <w:lang w:val="fr-FR"/>
        </w:rPr>
        <w:t>le</w:t>
      </w:r>
      <w:r w:rsidRPr="00E740A4">
        <w:rPr>
          <w:lang w:val="fr-FR"/>
        </w:rPr>
        <w:t>s requis</w:t>
      </w:r>
      <w:r w:rsidR="00F64EB7">
        <w:rPr>
          <w:lang w:val="fr-FR"/>
        </w:rPr>
        <w:t>es</w:t>
      </w:r>
      <w:r w:rsidRPr="00E740A4">
        <w:rPr>
          <w:lang w:val="fr-FR"/>
        </w:rPr>
        <w:t xml:space="preserve"> pour chaque intervention. Il est à noter que les outils mis en place par les partenaires RBM et les directives du CRSPC et de l’OMS pourront servir à cette évaluation quantitative</w:t>
      </w:r>
    </w:p>
    <w:p w14:paraId="5DDF3E95" w14:textId="77777777" w:rsidR="00411942" w:rsidRPr="00E740A4" w:rsidRDefault="004A6B92">
      <w:pPr>
        <w:pStyle w:val="P68B1DB1-ListParagraph4"/>
        <w:numPr>
          <w:ilvl w:val="0"/>
          <w:numId w:val="6"/>
        </w:numPr>
        <w:spacing w:before="120"/>
        <w:jc w:val="both"/>
        <w:rPr>
          <w:szCs w:val="20"/>
          <w:lang w:val="fr-FR"/>
        </w:rPr>
      </w:pPr>
      <w:r w:rsidRPr="00E740A4">
        <w:rPr>
          <w:lang w:val="fr-FR"/>
        </w:rPr>
        <w:t>Recenser en détail les activités à caractère technique et de soutien à entreprendre assorties d’un échéancier.</w:t>
      </w:r>
    </w:p>
    <w:p w14:paraId="77B7B720" w14:textId="04E93806" w:rsidR="00411942" w:rsidRPr="00E740A4" w:rsidRDefault="004A6B92">
      <w:pPr>
        <w:pStyle w:val="P68B1DB1-Normal2"/>
        <w:spacing w:before="120"/>
        <w:jc w:val="both"/>
        <w:rPr>
          <w:szCs w:val="20"/>
          <w:lang w:val="fr-FR"/>
        </w:rPr>
      </w:pPr>
      <w:r w:rsidRPr="00E740A4">
        <w:rPr>
          <w:lang w:val="fr-FR"/>
        </w:rPr>
        <w:t xml:space="preserve">2. Identifier ce qui est en cours de financement. Évaluer les </w:t>
      </w:r>
      <w:r w:rsidR="003A49BC">
        <w:rPr>
          <w:lang w:val="fr-FR"/>
        </w:rPr>
        <w:t>service</w:t>
      </w:r>
      <w:r w:rsidR="00DE3CFF">
        <w:rPr>
          <w:lang w:val="fr-FR"/>
        </w:rPr>
        <w:t>s</w:t>
      </w:r>
      <w:r w:rsidRPr="00E740A4">
        <w:rPr>
          <w:lang w:val="fr-FR"/>
        </w:rPr>
        <w:t xml:space="preserve"> de base, les activités et les interventions déjà couverts par les systèmes et ressources existants, y compris à travers l’identification des contributions de</w:t>
      </w:r>
      <w:r w:rsidR="00BD2311">
        <w:rPr>
          <w:lang w:val="fr-FR"/>
        </w:rPr>
        <w:t xml:space="preserve"> tou</w:t>
      </w:r>
      <w:r w:rsidRPr="00E740A4">
        <w:rPr>
          <w:lang w:val="fr-FR"/>
        </w:rPr>
        <w:t xml:space="preserve">s </w:t>
      </w:r>
      <w:r w:rsidR="00BD2311">
        <w:rPr>
          <w:lang w:val="fr-FR"/>
        </w:rPr>
        <w:t xml:space="preserve">les </w:t>
      </w:r>
      <w:r w:rsidRPr="00E740A4">
        <w:rPr>
          <w:lang w:val="fr-FR"/>
        </w:rPr>
        <w:t>partenaires</w:t>
      </w:r>
    </w:p>
    <w:p w14:paraId="3B36B1C5" w14:textId="48C3CEDA" w:rsidR="00411942" w:rsidRPr="00E740A4" w:rsidRDefault="004A6B92">
      <w:pPr>
        <w:pStyle w:val="P68B1DB1-Normal2"/>
        <w:spacing w:before="120"/>
        <w:jc w:val="both"/>
        <w:rPr>
          <w:szCs w:val="20"/>
          <w:lang w:val="fr-FR"/>
        </w:rPr>
      </w:pPr>
      <w:r w:rsidRPr="00E740A4">
        <w:rPr>
          <w:lang w:val="fr-FR"/>
        </w:rPr>
        <w:t xml:space="preserve">3. Identifier les </w:t>
      </w:r>
      <w:r w:rsidR="00BD2311">
        <w:rPr>
          <w:lang w:val="fr-FR"/>
        </w:rPr>
        <w:t>écart</w:t>
      </w:r>
      <w:r w:rsidRPr="00E740A4">
        <w:rPr>
          <w:lang w:val="fr-FR"/>
        </w:rPr>
        <w:t xml:space="preserve">s – Identifier les </w:t>
      </w:r>
      <w:r w:rsidR="003A49BC">
        <w:rPr>
          <w:lang w:val="fr-FR"/>
        </w:rPr>
        <w:t>service</w:t>
      </w:r>
      <w:r w:rsidRPr="00E740A4">
        <w:rPr>
          <w:lang w:val="fr-FR"/>
        </w:rPr>
        <w:t>s et activités (techniques et soutien) à combler</w:t>
      </w:r>
    </w:p>
    <w:p w14:paraId="16B26A0C" w14:textId="0E6BB396" w:rsidR="00411942" w:rsidRPr="00E740A4" w:rsidRDefault="004A6B92">
      <w:pPr>
        <w:pStyle w:val="P68B1DB1-Normal2"/>
        <w:spacing w:before="120"/>
        <w:jc w:val="both"/>
        <w:rPr>
          <w:szCs w:val="20"/>
          <w:lang w:val="fr-FR"/>
        </w:rPr>
      </w:pPr>
      <w:r w:rsidRPr="00E740A4">
        <w:rPr>
          <w:lang w:val="fr-FR"/>
        </w:rPr>
        <w:t xml:space="preserve">4. Accorder les nouvelles ressources en priorité aux interventions les plus rentables. Cet exercice de hiérarchisation doit tenir compte des dernières recommandations de l’OMS, du plan stratégique national, des résultats des exercices de stratification et d’adaptation infranationaux et de </w:t>
      </w:r>
      <w:r w:rsidR="00DD782C">
        <w:rPr>
          <w:lang w:val="fr-FR"/>
        </w:rPr>
        <w:t xml:space="preserve">la </w:t>
      </w:r>
      <w:r w:rsidRPr="00E740A4">
        <w:rPr>
          <w:lang w:val="fr-FR"/>
        </w:rPr>
        <w:t>mise en œuvre dans les pays.</w:t>
      </w:r>
    </w:p>
    <w:p w14:paraId="3C4E9B3F" w14:textId="46D25934" w:rsidR="00411942" w:rsidRPr="00E740A4" w:rsidRDefault="004A6B92">
      <w:pPr>
        <w:pStyle w:val="P68B1DB1-Normal5"/>
        <w:spacing w:before="120"/>
        <w:rPr>
          <w:szCs w:val="20"/>
          <w:lang w:val="fr-FR"/>
        </w:rPr>
      </w:pPr>
      <w:r w:rsidRPr="00E740A4">
        <w:rPr>
          <w:lang w:val="fr-FR"/>
        </w:rPr>
        <w:t>Tableau</w:t>
      </w:r>
      <w:r w:rsidR="00391C3D">
        <w:rPr>
          <w:lang w:val="fr-FR"/>
        </w:rPr>
        <w:t> </w:t>
      </w:r>
      <w:r w:rsidRPr="00E740A4">
        <w:rPr>
          <w:lang w:val="fr-FR"/>
        </w:rPr>
        <w:t xml:space="preserve">1 : Analyse générique des </w:t>
      </w:r>
      <w:r w:rsidR="00D855D8">
        <w:rPr>
          <w:lang w:val="fr-FR"/>
        </w:rPr>
        <w:t>écart</w:t>
      </w:r>
      <w:r w:rsidRPr="00E740A4">
        <w:rPr>
          <w:lang w:val="fr-FR"/>
        </w:rPr>
        <w:t xml:space="preserve">s </w:t>
      </w:r>
      <w:r w:rsidR="00D855D8">
        <w:rPr>
          <w:lang w:val="fr-FR"/>
        </w:rPr>
        <w:t xml:space="preserve">dans les </w:t>
      </w:r>
      <w:r w:rsidRPr="00E740A4">
        <w:rPr>
          <w:lang w:val="fr-FR"/>
        </w:rPr>
        <w:t>programmes</w:t>
      </w:r>
    </w:p>
    <w:tbl>
      <w:tblPr>
        <w:tblW w:w="9360" w:type="dxa"/>
        <w:tblInd w:w="1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4230"/>
        <w:gridCol w:w="720"/>
        <w:gridCol w:w="720"/>
        <w:gridCol w:w="720"/>
        <w:gridCol w:w="720"/>
        <w:gridCol w:w="720"/>
        <w:gridCol w:w="720"/>
        <w:gridCol w:w="810"/>
      </w:tblGrid>
      <w:tr w:rsidR="00411942" w:rsidRPr="00A039EA" w14:paraId="4C0417B6" w14:textId="77777777">
        <w:trPr>
          <w:trHeight w:val="233"/>
          <w:tblHeader/>
        </w:trPr>
        <w:tc>
          <w:tcPr>
            <w:tcW w:w="4230" w:type="dxa"/>
            <w:shd w:val="clear" w:color="auto" w:fill="9BBB59"/>
          </w:tcPr>
          <w:p w14:paraId="2EA6A112" w14:textId="77777777" w:rsidR="00411942" w:rsidRDefault="004A6B92">
            <w:pPr>
              <w:pStyle w:val="P68B1DB1-Normal5"/>
              <w:spacing w:before="120"/>
              <w:rPr>
                <w:szCs w:val="20"/>
              </w:rPr>
            </w:pPr>
            <w:r>
              <w:lastRenderedPageBreak/>
              <w:t>Intervention prioritaire</w:t>
            </w:r>
          </w:p>
        </w:tc>
        <w:tc>
          <w:tcPr>
            <w:tcW w:w="1440" w:type="dxa"/>
            <w:gridSpan w:val="2"/>
            <w:shd w:val="clear" w:color="auto" w:fill="9BBB59"/>
          </w:tcPr>
          <w:p w14:paraId="497DF991" w14:textId="77777777" w:rsidR="00411942" w:rsidRDefault="004A6B92">
            <w:pPr>
              <w:pStyle w:val="P68B1DB1-Normal5"/>
              <w:spacing w:before="120"/>
              <w:jc w:val="center"/>
              <w:rPr>
                <w:szCs w:val="20"/>
              </w:rPr>
            </w:pPr>
            <w:r>
              <w:t>Historique</w:t>
            </w:r>
          </w:p>
        </w:tc>
        <w:tc>
          <w:tcPr>
            <w:tcW w:w="2160" w:type="dxa"/>
            <w:gridSpan w:val="3"/>
            <w:shd w:val="clear" w:color="auto" w:fill="9BBB59"/>
          </w:tcPr>
          <w:p w14:paraId="00DC1B34" w14:textId="77777777" w:rsidR="00411942" w:rsidRDefault="004A6B92">
            <w:pPr>
              <w:pStyle w:val="P68B1DB1-Normal5"/>
              <w:spacing w:before="120"/>
              <w:jc w:val="center"/>
              <w:rPr>
                <w:szCs w:val="20"/>
              </w:rPr>
            </w:pPr>
            <w:r>
              <w:t>Dans le moyen terme</w:t>
            </w:r>
          </w:p>
        </w:tc>
        <w:tc>
          <w:tcPr>
            <w:tcW w:w="1530" w:type="dxa"/>
            <w:gridSpan w:val="2"/>
            <w:shd w:val="clear" w:color="auto" w:fill="9BBB59"/>
          </w:tcPr>
          <w:p w14:paraId="170C401B" w14:textId="77777777" w:rsidR="00411942" w:rsidRPr="00E740A4" w:rsidRDefault="004A6B92">
            <w:pPr>
              <w:pStyle w:val="P68B1DB1-Normal5"/>
              <w:spacing w:before="120"/>
              <w:ind w:right="-108"/>
              <w:jc w:val="center"/>
              <w:rPr>
                <w:szCs w:val="20"/>
                <w:lang w:val="fr-FR"/>
              </w:rPr>
            </w:pPr>
            <w:r w:rsidRPr="00E740A4">
              <w:rPr>
                <w:lang w:val="fr-FR"/>
              </w:rPr>
              <w:t>À la fin de la période</w:t>
            </w:r>
          </w:p>
        </w:tc>
      </w:tr>
      <w:tr w:rsidR="00411942" w14:paraId="3B9AA9CF" w14:textId="77777777" w:rsidTr="00D13C6F">
        <w:trPr>
          <w:trHeight w:val="233"/>
          <w:tblHeader/>
        </w:trPr>
        <w:tc>
          <w:tcPr>
            <w:tcW w:w="4230" w:type="dxa"/>
            <w:shd w:val="clear" w:color="auto" w:fill="9BBB59"/>
          </w:tcPr>
          <w:p w14:paraId="540E8688" w14:textId="77777777" w:rsidR="00411942" w:rsidRPr="00E740A4" w:rsidRDefault="00411942">
            <w:pPr>
              <w:spacing w:before="120"/>
              <w:rPr>
                <w:rFonts w:ascii="Arial" w:hAnsi="Arial" w:cs="Arial"/>
                <w:sz w:val="20"/>
                <w:szCs w:val="20"/>
                <w:lang w:val="fr-FR"/>
              </w:rPr>
            </w:pPr>
          </w:p>
        </w:tc>
        <w:tc>
          <w:tcPr>
            <w:tcW w:w="720" w:type="dxa"/>
            <w:shd w:val="clear" w:color="auto" w:fill="9BBB59"/>
          </w:tcPr>
          <w:p w14:paraId="4C4BF6A8" w14:textId="77777777" w:rsidR="00411942" w:rsidRDefault="004A6B92" w:rsidP="00D13C6F">
            <w:pPr>
              <w:pStyle w:val="P68B1DB1-Normal6"/>
              <w:spacing w:before="120"/>
              <w:jc w:val="center"/>
              <w:rPr>
                <w:szCs w:val="20"/>
              </w:rPr>
            </w:pPr>
            <w:r>
              <w:t>-2 ans</w:t>
            </w:r>
          </w:p>
        </w:tc>
        <w:tc>
          <w:tcPr>
            <w:tcW w:w="720" w:type="dxa"/>
            <w:shd w:val="clear" w:color="auto" w:fill="9BBB59"/>
          </w:tcPr>
          <w:p w14:paraId="19427069" w14:textId="77777777" w:rsidR="00411942" w:rsidRDefault="004A6B92" w:rsidP="00D13C6F">
            <w:pPr>
              <w:pStyle w:val="P68B1DB1-Normal6"/>
              <w:spacing w:before="120"/>
              <w:jc w:val="center"/>
              <w:rPr>
                <w:szCs w:val="20"/>
              </w:rPr>
            </w:pPr>
            <w:r>
              <w:t>-1 an</w:t>
            </w:r>
          </w:p>
        </w:tc>
        <w:tc>
          <w:tcPr>
            <w:tcW w:w="720" w:type="dxa"/>
            <w:shd w:val="clear" w:color="auto" w:fill="9BBB59"/>
          </w:tcPr>
          <w:p w14:paraId="24DF3CC5" w14:textId="77777777" w:rsidR="00411942" w:rsidRDefault="004A6B92" w:rsidP="00D13C6F">
            <w:pPr>
              <w:pStyle w:val="P68B1DB1-Normal6"/>
              <w:spacing w:before="120"/>
              <w:jc w:val="center"/>
              <w:rPr>
                <w:szCs w:val="20"/>
              </w:rPr>
            </w:pPr>
            <w:r>
              <w:t>1 an</w:t>
            </w:r>
          </w:p>
        </w:tc>
        <w:tc>
          <w:tcPr>
            <w:tcW w:w="720" w:type="dxa"/>
            <w:shd w:val="clear" w:color="auto" w:fill="9BBB59"/>
          </w:tcPr>
          <w:p w14:paraId="232B1621" w14:textId="77777777" w:rsidR="00411942" w:rsidRDefault="004A6B92" w:rsidP="00D13C6F">
            <w:pPr>
              <w:pStyle w:val="P68B1DB1-Normal6"/>
              <w:spacing w:before="120"/>
              <w:jc w:val="center"/>
              <w:rPr>
                <w:szCs w:val="20"/>
              </w:rPr>
            </w:pPr>
            <w:r>
              <w:t>2 ans</w:t>
            </w:r>
          </w:p>
        </w:tc>
        <w:tc>
          <w:tcPr>
            <w:tcW w:w="720" w:type="dxa"/>
            <w:shd w:val="clear" w:color="auto" w:fill="9BBB59"/>
          </w:tcPr>
          <w:p w14:paraId="46FCAB2E" w14:textId="77777777" w:rsidR="00411942" w:rsidRDefault="004A6B92" w:rsidP="00D13C6F">
            <w:pPr>
              <w:pStyle w:val="P68B1DB1-Normal6"/>
              <w:spacing w:before="120"/>
              <w:jc w:val="center"/>
              <w:rPr>
                <w:szCs w:val="20"/>
              </w:rPr>
            </w:pPr>
            <w:r>
              <w:t>3 ans</w:t>
            </w:r>
          </w:p>
        </w:tc>
        <w:tc>
          <w:tcPr>
            <w:tcW w:w="720" w:type="dxa"/>
            <w:shd w:val="clear" w:color="auto" w:fill="9BBB59"/>
          </w:tcPr>
          <w:p w14:paraId="663FF094" w14:textId="77777777" w:rsidR="00411942" w:rsidRDefault="004A6B92" w:rsidP="00D13C6F">
            <w:pPr>
              <w:pStyle w:val="P68B1DB1-Normal6"/>
              <w:spacing w:before="120"/>
              <w:jc w:val="center"/>
              <w:rPr>
                <w:szCs w:val="20"/>
              </w:rPr>
            </w:pPr>
            <w:r>
              <w:t>4 ans</w:t>
            </w:r>
          </w:p>
        </w:tc>
        <w:tc>
          <w:tcPr>
            <w:tcW w:w="810" w:type="dxa"/>
            <w:shd w:val="clear" w:color="auto" w:fill="9BBB59"/>
          </w:tcPr>
          <w:p w14:paraId="3DFD5B0C" w14:textId="77777777" w:rsidR="00411942" w:rsidRDefault="004A6B92" w:rsidP="00D13C6F">
            <w:pPr>
              <w:pStyle w:val="P68B1DB1-Normal6"/>
              <w:spacing w:before="120"/>
              <w:jc w:val="center"/>
              <w:rPr>
                <w:szCs w:val="20"/>
              </w:rPr>
            </w:pPr>
            <w:r>
              <w:t>5 ans</w:t>
            </w:r>
          </w:p>
        </w:tc>
      </w:tr>
      <w:tr w:rsidR="00411942" w:rsidRPr="00A039EA" w14:paraId="642EAE50" w14:textId="77777777">
        <w:trPr>
          <w:trHeight w:val="233"/>
          <w:tblHeader/>
        </w:trPr>
        <w:tc>
          <w:tcPr>
            <w:tcW w:w="4230" w:type="dxa"/>
            <w:shd w:val="clear" w:color="auto" w:fill="D6E3BC"/>
            <w:vAlign w:val="center"/>
          </w:tcPr>
          <w:p w14:paraId="37714ADC" w14:textId="22EC96C1" w:rsidR="00411942" w:rsidRPr="00E740A4" w:rsidRDefault="004A6B92">
            <w:pPr>
              <w:pStyle w:val="P68B1DB1-Normal5"/>
              <w:spacing w:before="120"/>
              <w:rPr>
                <w:szCs w:val="20"/>
                <w:lang w:val="fr-FR"/>
              </w:rPr>
            </w:pPr>
            <w:r w:rsidRPr="00E740A4">
              <w:rPr>
                <w:lang w:val="fr-FR"/>
              </w:rPr>
              <w:t>A : Besoins annuels du pays (par ex., MILDA, PID, TDR, CTA, etc.)</w:t>
            </w:r>
          </w:p>
        </w:tc>
        <w:tc>
          <w:tcPr>
            <w:tcW w:w="720" w:type="dxa"/>
            <w:shd w:val="clear" w:color="auto" w:fill="D6E3BC"/>
          </w:tcPr>
          <w:p w14:paraId="1051998A"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257BFEC7"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20E9E240"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47996F71"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645512BF"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2EBD1B47" w14:textId="77777777" w:rsidR="00411942" w:rsidRPr="00E740A4" w:rsidRDefault="00411942">
            <w:pPr>
              <w:spacing w:before="120"/>
              <w:rPr>
                <w:rFonts w:ascii="Arial" w:hAnsi="Arial" w:cs="Arial"/>
                <w:sz w:val="20"/>
                <w:szCs w:val="20"/>
                <w:lang w:val="fr-FR"/>
              </w:rPr>
            </w:pPr>
          </w:p>
        </w:tc>
        <w:tc>
          <w:tcPr>
            <w:tcW w:w="810" w:type="dxa"/>
            <w:shd w:val="clear" w:color="auto" w:fill="D6E3BC"/>
          </w:tcPr>
          <w:p w14:paraId="27CC503B" w14:textId="77777777" w:rsidR="00411942" w:rsidRPr="00E740A4" w:rsidRDefault="00411942">
            <w:pPr>
              <w:spacing w:before="120"/>
              <w:rPr>
                <w:rFonts w:ascii="Arial" w:hAnsi="Arial" w:cs="Arial"/>
                <w:sz w:val="20"/>
                <w:szCs w:val="20"/>
                <w:lang w:val="fr-FR"/>
              </w:rPr>
            </w:pPr>
          </w:p>
        </w:tc>
      </w:tr>
      <w:tr w:rsidR="00411942" w:rsidRPr="00A039EA" w14:paraId="44000F73" w14:textId="77777777">
        <w:trPr>
          <w:trHeight w:val="233"/>
          <w:tblHeader/>
        </w:trPr>
        <w:tc>
          <w:tcPr>
            <w:tcW w:w="4230" w:type="dxa"/>
            <w:shd w:val="clear" w:color="auto" w:fill="D6E3BC"/>
            <w:vAlign w:val="center"/>
          </w:tcPr>
          <w:p w14:paraId="6DE22CD2" w14:textId="77777777" w:rsidR="00411942" w:rsidRPr="00E740A4" w:rsidRDefault="004A6B92">
            <w:pPr>
              <w:pStyle w:val="P68B1DB1-Normal5"/>
              <w:spacing w:before="120"/>
              <w:rPr>
                <w:bCs/>
                <w:i/>
                <w:iCs/>
                <w:szCs w:val="20"/>
                <w:lang w:val="fr-FR"/>
              </w:rPr>
            </w:pPr>
            <w:r w:rsidRPr="00E740A4">
              <w:rPr>
                <w:lang w:val="fr-FR"/>
              </w:rPr>
              <w:t>B : Mesure des besoins annuels à satisfaire déjà planifiés en vertu du programme et des ressources existants</w:t>
            </w:r>
          </w:p>
        </w:tc>
        <w:tc>
          <w:tcPr>
            <w:tcW w:w="720" w:type="dxa"/>
            <w:shd w:val="clear" w:color="auto" w:fill="D6E3BC"/>
          </w:tcPr>
          <w:p w14:paraId="18DE5480"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245C6EAB"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090E6A7E"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09182B7C"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7F48E100"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29ECBC9B" w14:textId="77777777" w:rsidR="00411942" w:rsidRPr="00E740A4" w:rsidRDefault="00411942">
            <w:pPr>
              <w:spacing w:before="120"/>
              <w:rPr>
                <w:rFonts w:ascii="Arial" w:hAnsi="Arial" w:cs="Arial"/>
                <w:sz w:val="20"/>
                <w:szCs w:val="20"/>
                <w:lang w:val="fr-FR"/>
              </w:rPr>
            </w:pPr>
          </w:p>
        </w:tc>
        <w:tc>
          <w:tcPr>
            <w:tcW w:w="810" w:type="dxa"/>
            <w:shd w:val="clear" w:color="auto" w:fill="D6E3BC"/>
          </w:tcPr>
          <w:p w14:paraId="7A0C46AB" w14:textId="77777777" w:rsidR="00411942" w:rsidRPr="00E740A4" w:rsidRDefault="00411942">
            <w:pPr>
              <w:spacing w:before="120"/>
              <w:rPr>
                <w:rFonts w:ascii="Arial" w:hAnsi="Arial" w:cs="Arial"/>
                <w:sz w:val="20"/>
                <w:szCs w:val="20"/>
                <w:lang w:val="fr-FR"/>
              </w:rPr>
            </w:pPr>
          </w:p>
        </w:tc>
      </w:tr>
      <w:tr w:rsidR="00411942" w14:paraId="689F35B6" w14:textId="77777777">
        <w:trPr>
          <w:trHeight w:val="233"/>
          <w:tblHeader/>
        </w:trPr>
        <w:tc>
          <w:tcPr>
            <w:tcW w:w="4230" w:type="dxa"/>
            <w:shd w:val="clear" w:color="auto" w:fill="D6E3BC"/>
            <w:vAlign w:val="center"/>
          </w:tcPr>
          <w:p w14:paraId="515D7609" w14:textId="77777777" w:rsidR="00411942" w:rsidRDefault="004A6B92">
            <w:pPr>
              <w:pStyle w:val="P68B1DB1-Normal2"/>
              <w:spacing w:before="120"/>
              <w:rPr>
                <w:bCs/>
                <w:szCs w:val="20"/>
              </w:rPr>
            </w:pPr>
            <w:r>
              <w:t>B1. Gouvernement</w:t>
            </w:r>
          </w:p>
        </w:tc>
        <w:tc>
          <w:tcPr>
            <w:tcW w:w="720" w:type="dxa"/>
            <w:shd w:val="clear" w:color="auto" w:fill="D6E3BC"/>
          </w:tcPr>
          <w:p w14:paraId="09860726" w14:textId="77777777" w:rsidR="00411942" w:rsidRDefault="00411942">
            <w:pPr>
              <w:spacing w:before="120"/>
              <w:rPr>
                <w:rFonts w:ascii="Arial" w:hAnsi="Arial" w:cs="Arial"/>
                <w:sz w:val="20"/>
                <w:szCs w:val="20"/>
              </w:rPr>
            </w:pPr>
          </w:p>
        </w:tc>
        <w:tc>
          <w:tcPr>
            <w:tcW w:w="720" w:type="dxa"/>
            <w:shd w:val="clear" w:color="auto" w:fill="D6E3BC"/>
          </w:tcPr>
          <w:p w14:paraId="75CCE20B" w14:textId="77777777" w:rsidR="00411942" w:rsidRDefault="00411942">
            <w:pPr>
              <w:spacing w:before="120"/>
              <w:rPr>
                <w:rFonts w:ascii="Arial" w:hAnsi="Arial" w:cs="Arial"/>
                <w:sz w:val="20"/>
                <w:szCs w:val="20"/>
              </w:rPr>
            </w:pPr>
          </w:p>
        </w:tc>
        <w:tc>
          <w:tcPr>
            <w:tcW w:w="720" w:type="dxa"/>
            <w:shd w:val="clear" w:color="auto" w:fill="D6E3BC"/>
          </w:tcPr>
          <w:p w14:paraId="5008A466" w14:textId="77777777" w:rsidR="00411942" w:rsidRDefault="00411942">
            <w:pPr>
              <w:spacing w:before="120"/>
              <w:rPr>
                <w:rFonts w:ascii="Arial" w:hAnsi="Arial" w:cs="Arial"/>
                <w:sz w:val="20"/>
                <w:szCs w:val="20"/>
              </w:rPr>
            </w:pPr>
          </w:p>
        </w:tc>
        <w:tc>
          <w:tcPr>
            <w:tcW w:w="720" w:type="dxa"/>
            <w:shd w:val="clear" w:color="auto" w:fill="D6E3BC"/>
          </w:tcPr>
          <w:p w14:paraId="7697C62D" w14:textId="77777777" w:rsidR="00411942" w:rsidRDefault="00411942">
            <w:pPr>
              <w:spacing w:before="120"/>
              <w:rPr>
                <w:rFonts w:ascii="Arial" w:hAnsi="Arial" w:cs="Arial"/>
                <w:sz w:val="20"/>
                <w:szCs w:val="20"/>
              </w:rPr>
            </w:pPr>
          </w:p>
        </w:tc>
        <w:tc>
          <w:tcPr>
            <w:tcW w:w="720" w:type="dxa"/>
            <w:shd w:val="clear" w:color="auto" w:fill="D6E3BC"/>
          </w:tcPr>
          <w:p w14:paraId="379AA67B" w14:textId="77777777" w:rsidR="00411942" w:rsidRDefault="00411942">
            <w:pPr>
              <w:spacing w:before="120"/>
              <w:rPr>
                <w:rFonts w:ascii="Arial" w:hAnsi="Arial" w:cs="Arial"/>
                <w:sz w:val="20"/>
                <w:szCs w:val="20"/>
              </w:rPr>
            </w:pPr>
          </w:p>
        </w:tc>
        <w:tc>
          <w:tcPr>
            <w:tcW w:w="720" w:type="dxa"/>
            <w:shd w:val="clear" w:color="auto" w:fill="D6E3BC"/>
          </w:tcPr>
          <w:p w14:paraId="42F19985" w14:textId="77777777" w:rsidR="00411942" w:rsidRDefault="00411942">
            <w:pPr>
              <w:spacing w:before="120"/>
              <w:rPr>
                <w:rFonts w:ascii="Arial" w:hAnsi="Arial" w:cs="Arial"/>
                <w:sz w:val="20"/>
                <w:szCs w:val="20"/>
              </w:rPr>
            </w:pPr>
          </w:p>
        </w:tc>
        <w:tc>
          <w:tcPr>
            <w:tcW w:w="810" w:type="dxa"/>
            <w:shd w:val="clear" w:color="auto" w:fill="D6E3BC"/>
          </w:tcPr>
          <w:p w14:paraId="499B5F2E" w14:textId="77777777" w:rsidR="00411942" w:rsidRDefault="00411942">
            <w:pPr>
              <w:spacing w:before="120"/>
              <w:rPr>
                <w:rFonts w:ascii="Arial" w:hAnsi="Arial" w:cs="Arial"/>
                <w:sz w:val="20"/>
                <w:szCs w:val="20"/>
              </w:rPr>
            </w:pPr>
          </w:p>
        </w:tc>
      </w:tr>
      <w:tr w:rsidR="00411942" w14:paraId="10F3DB69" w14:textId="77777777">
        <w:trPr>
          <w:trHeight w:val="233"/>
          <w:tblHeader/>
        </w:trPr>
        <w:tc>
          <w:tcPr>
            <w:tcW w:w="4230" w:type="dxa"/>
            <w:shd w:val="clear" w:color="auto" w:fill="D6E3BC"/>
            <w:vAlign w:val="center"/>
          </w:tcPr>
          <w:p w14:paraId="3EDC6454" w14:textId="05A0DF56" w:rsidR="00411942" w:rsidRDefault="004A6B92">
            <w:pPr>
              <w:pStyle w:val="P68B1DB1-Normal2"/>
              <w:spacing w:before="120"/>
              <w:rPr>
                <w:bCs/>
                <w:szCs w:val="20"/>
              </w:rPr>
            </w:pPr>
            <w:r>
              <w:t>B2. Ressources externes</w:t>
            </w:r>
          </w:p>
        </w:tc>
        <w:tc>
          <w:tcPr>
            <w:tcW w:w="720" w:type="dxa"/>
            <w:shd w:val="clear" w:color="auto" w:fill="D6E3BC"/>
          </w:tcPr>
          <w:p w14:paraId="2801C2DC" w14:textId="77777777" w:rsidR="00411942" w:rsidRDefault="00411942">
            <w:pPr>
              <w:spacing w:before="120"/>
              <w:rPr>
                <w:rFonts w:ascii="Arial" w:hAnsi="Arial" w:cs="Arial"/>
                <w:sz w:val="20"/>
                <w:szCs w:val="20"/>
              </w:rPr>
            </w:pPr>
          </w:p>
        </w:tc>
        <w:tc>
          <w:tcPr>
            <w:tcW w:w="720" w:type="dxa"/>
            <w:shd w:val="clear" w:color="auto" w:fill="D6E3BC"/>
          </w:tcPr>
          <w:p w14:paraId="669D2B51" w14:textId="77777777" w:rsidR="00411942" w:rsidRDefault="00411942">
            <w:pPr>
              <w:spacing w:before="120"/>
              <w:rPr>
                <w:rFonts w:ascii="Arial" w:hAnsi="Arial" w:cs="Arial"/>
                <w:sz w:val="20"/>
                <w:szCs w:val="20"/>
              </w:rPr>
            </w:pPr>
          </w:p>
        </w:tc>
        <w:tc>
          <w:tcPr>
            <w:tcW w:w="720" w:type="dxa"/>
            <w:shd w:val="clear" w:color="auto" w:fill="D6E3BC"/>
          </w:tcPr>
          <w:p w14:paraId="3693A183" w14:textId="77777777" w:rsidR="00411942" w:rsidRDefault="00411942">
            <w:pPr>
              <w:spacing w:before="120"/>
              <w:rPr>
                <w:rFonts w:ascii="Arial" w:hAnsi="Arial" w:cs="Arial"/>
                <w:sz w:val="20"/>
                <w:szCs w:val="20"/>
              </w:rPr>
            </w:pPr>
          </w:p>
        </w:tc>
        <w:tc>
          <w:tcPr>
            <w:tcW w:w="720" w:type="dxa"/>
            <w:shd w:val="clear" w:color="auto" w:fill="D6E3BC"/>
          </w:tcPr>
          <w:p w14:paraId="58A7E552" w14:textId="77777777" w:rsidR="00411942" w:rsidRDefault="00411942">
            <w:pPr>
              <w:spacing w:before="120"/>
              <w:rPr>
                <w:rFonts w:ascii="Arial" w:hAnsi="Arial" w:cs="Arial"/>
                <w:sz w:val="20"/>
                <w:szCs w:val="20"/>
              </w:rPr>
            </w:pPr>
          </w:p>
        </w:tc>
        <w:tc>
          <w:tcPr>
            <w:tcW w:w="720" w:type="dxa"/>
            <w:shd w:val="clear" w:color="auto" w:fill="D6E3BC"/>
          </w:tcPr>
          <w:p w14:paraId="3C15669D" w14:textId="77777777" w:rsidR="00411942" w:rsidRDefault="00411942">
            <w:pPr>
              <w:spacing w:before="120"/>
              <w:rPr>
                <w:rFonts w:ascii="Arial" w:hAnsi="Arial" w:cs="Arial"/>
                <w:sz w:val="20"/>
                <w:szCs w:val="20"/>
              </w:rPr>
            </w:pPr>
          </w:p>
        </w:tc>
        <w:tc>
          <w:tcPr>
            <w:tcW w:w="720" w:type="dxa"/>
            <w:shd w:val="clear" w:color="auto" w:fill="D6E3BC"/>
          </w:tcPr>
          <w:p w14:paraId="1C0E5720" w14:textId="77777777" w:rsidR="00411942" w:rsidRDefault="00411942">
            <w:pPr>
              <w:spacing w:before="120"/>
              <w:rPr>
                <w:rFonts w:ascii="Arial" w:hAnsi="Arial" w:cs="Arial"/>
                <w:sz w:val="20"/>
                <w:szCs w:val="20"/>
              </w:rPr>
            </w:pPr>
          </w:p>
        </w:tc>
        <w:tc>
          <w:tcPr>
            <w:tcW w:w="810" w:type="dxa"/>
            <w:shd w:val="clear" w:color="auto" w:fill="D6E3BC"/>
          </w:tcPr>
          <w:p w14:paraId="6D31220A" w14:textId="77777777" w:rsidR="00411942" w:rsidRDefault="00411942">
            <w:pPr>
              <w:spacing w:before="120"/>
              <w:rPr>
                <w:rFonts w:ascii="Arial" w:hAnsi="Arial" w:cs="Arial"/>
                <w:sz w:val="20"/>
                <w:szCs w:val="20"/>
              </w:rPr>
            </w:pPr>
          </w:p>
        </w:tc>
      </w:tr>
      <w:tr w:rsidR="00411942" w14:paraId="50D04B5E" w14:textId="77777777">
        <w:trPr>
          <w:trHeight w:val="233"/>
          <w:tblHeader/>
        </w:trPr>
        <w:tc>
          <w:tcPr>
            <w:tcW w:w="4230" w:type="dxa"/>
            <w:shd w:val="clear" w:color="auto" w:fill="D6E3BC"/>
            <w:vAlign w:val="center"/>
          </w:tcPr>
          <w:p w14:paraId="763515B2" w14:textId="71A96D63" w:rsidR="00411942" w:rsidRDefault="004A6B92">
            <w:pPr>
              <w:pStyle w:val="P68B1DB1-Normal2"/>
              <w:spacing w:before="120"/>
              <w:rPr>
                <w:bCs/>
                <w:szCs w:val="20"/>
              </w:rPr>
            </w:pPr>
            <w:r>
              <w:t xml:space="preserve">B2.1. Fonds </w:t>
            </w:r>
            <w:r w:rsidR="00201318">
              <w:t>Mondial</w:t>
            </w:r>
          </w:p>
        </w:tc>
        <w:tc>
          <w:tcPr>
            <w:tcW w:w="720" w:type="dxa"/>
            <w:shd w:val="clear" w:color="auto" w:fill="D6E3BC"/>
          </w:tcPr>
          <w:p w14:paraId="6D8E4399" w14:textId="77777777" w:rsidR="00411942" w:rsidRDefault="00411942">
            <w:pPr>
              <w:spacing w:before="120"/>
              <w:rPr>
                <w:rFonts w:ascii="Arial" w:hAnsi="Arial" w:cs="Arial"/>
                <w:sz w:val="20"/>
                <w:szCs w:val="20"/>
              </w:rPr>
            </w:pPr>
          </w:p>
        </w:tc>
        <w:tc>
          <w:tcPr>
            <w:tcW w:w="720" w:type="dxa"/>
            <w:shd w:val="clear" w:color="auto" w:fill="D6E3BC"/>
          </w:tcPr>
          <w:p w14:paraId="05C44131" w14:textId="77777777" w:rsidR="00411942" w:rsidRDefault="00411942">
            <w:pPr>
              <w:spacing w:before="120"/>
              <w:rPr>
                <w:rFonts w:ascii="Arial" w:hAnsi="Arial" w:cs="Arial"/>
                <w:sz w:val="20"/>
                <w:szCs w:val="20"/>
              </w:rPr>
            </w:pPr>
          </w:p>
        </w:tc>
        <w:tc>
          <w:tcPr>
            <w:tcW w:w="720" w:type="dxa"/>
            <w:shd w:val="clear" w:color="auto" w:fill="D6E3BC"/>
          </w:tcPr>
          <w:p w14:paraId="5505AAF9" w14:textId="77777777" w:rsidR="00411942" w:rsidRDefault="00411942">
            <w:pPr>
              <w:spacing w:before="120"/>
              <w:rPr>
                <w:rFonts w:ascii="Arial" w:hAnsi="Arial" w:cs="Arial"/>
                <w:sz w:val="20"/>
                <w:szCs w:val="20"/>
              </w:rPr>
            </w:pPr>
          </w:p>
        </w:tc>
        <w:tc>
          <w:tcPr>
            <w:tcW w:w="720" w:type="dxa"/>
            <w:shd w:val="clear" w:color="auto" w:fill="D6E3BC"/>
          </w:tcPr>
          <w:p w14:paraId="557CF8CF" w14:textId="77777777" w:rsidR="00411942" w:rsidRDefault="00411942">
            <w:pPr>
              <w:spacing w:before="120"/>
              <w:rPr>
                <w:rFonts w:ascii="Arial" w:hAnsi="Arial" w:cs="Arial"/>
                <w:sz w:val="20"/>
                <w:szCs w:val="20"/>
              </w:rPr>
            </w:pPr>
          </w:p>
        </w:tc>
        <w:tc>
          <w:tcPr>
            <w:tcW w:w="720" w:type="dxa"/>
            <w:shd w:val="clear" w:color="auto" w:fill="D6E3BC"/>
          </w:tcPr>
          <w:p w14:paraId="3661FBAF" w14:textId="77777777" w:rsidR="00411942" w:rsidRDefault="00411942">
            <w:pPr>
              <w:spacing w:before="120"/>
              <w:rPr>
                <w:rFonts w:ascii="Arial" w:hAnsi="Arial" w:cs="Arial"/>
                <w:sz w:val="20"/>
                <w:szCs w:val="20"/>
              </w:rPr>
            </w:pPr>
          </w:p>
        </w:tc>
        <w:tc>
          <w:tcPr>
            <w:tcW w:w="720" w:type="dxa"/>
            <w:shd w:val="clear" w:color="auto" w:fill="D6E3BC"/>
          </w:tcPr>
          <w:p w14:paraId="68014449" w14:textId="77777777" w:rsidR="00411942" w:rsidRDefault="00411942">
            <w:pPr>
              <w:spacing w:before="120"/>
              <w:rPr>
                <w:rFonts w:ascii="Arial" w:hAnsi="Arial" w:cs="Arial"/>
                <w:sz w:val="20"/>
                <w:szCs w:val="20"/>
              </w:rPr>
            </w:pPr>
          </w:p>
        </w:tc>
        <w:tc>
          <w:tcPr>
            <w:tcW w:w="810" w:type="dxa"/>
            <w:shd w:val="clear" w:color="auto" w:fill="D6E3BC"/>
          </w:tcPr>
          <w:p w14:paraId="13A58AF3" w14:textId="77777777" w:rsidR="00411942" w:rsidRDefault="00411942">
            <w:pPr>
              <w:spacing w:before="120"/>
              <w:rPr>
                <w:rFonts w:ascii="Arial" w:hAnsi="Arial" w:cs="Arial"/>
                <w:sz w:val="20"/>
                <w:szCs w:val="20"/>
              </w:rPr>
            </w:pPr>
          </w:p>
        </w:tc>
      </w:tr>
      <w:tr w:rsidR="00411942" w:rsidRPr="00A039EA" w14:paraId="06C7DBC2" w14:textId="77777777">
        <w:trPr>
          <w:trHeight w:val="233"/>
          <w:tblHeader/>
        </w:trPr>
        <w:tc>
          <w:tcPr>
            <w:tcW w:w="4230" w:type="dxa"/>
            <w:shd w:val="clear" w:color="auto" w:fill="D6E3BC"/>
            <w:vAlign w:val="center"/>
          </w:tcPr>
          <w:p w14:paraId="61E82CBD" w14:textId="4F344A54" w:rsidR="00411942" w:rsidRPr="00E740A4" w:rsidRDefault="004A6B92">
            <w:pPr>
              <w:pStyle w:val="P68B1DB1-Normal2"/>
              <w:spacing w:before="120"/>
              <w:rPr>
                <w:bCs/>
                <w:szCs w:val="20"/>
                <w:lang w:val="fr-FR"/>
              </w:rPr>
            </w:pPr>
            <w:r w:rsidRPr="00E740A4">
              <w:rPr>
                <w:lang w:val="fr-FR"/>
              </w:rPr>
              <w:t>B2.2. Autres partenaires (les nommer)</w:t>
            </w:r>
          </w:p>
        </w:tc>
        <w:tc>
          <w:tcPr>
            <w:tcW w:w="720" w:type="dxa"/>
            <w:shd w:val="clear" w:color="auto" w:fill="D6E3BC"/>
          </w:tcPr>
          <w:p w14:paraId="23093577"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3354D1CD"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58016875"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4911392E"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34CB6A09"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7AAFAA51" w14:textId="77777777" w:rsidR="00411942" w:rsidRPr="00E740A4" w:rsidRDefault="00411942">
            <w:pPr>
              <w:spacing w:before="120"/>
              <w:rPr>
                <w:rFonts w:ascii="Arial" w:hAnsi="Arial" w:cs="Arial"/>
                <w:sz w:val="20"/>
                <w:szCs w:val="20"/>
                <w:lang w:val="fr-FR"/>
              </w:rPr>
            </w:pPr>
          </w:p>
        </w:tc>
        <w:tc>
          <w:tcPr>
            <w:tcW w:w="810" w:type="dxa"/>
            <w:shd w:val="clear" w:color="auto" w:fill="D6E3BC"/>
          </w:tcPr>
          <w:p w14:paraId="4025D778" w14:textId="77777777" w:rsidR="00411942" w:rsidRPr="00E740A4" w:rsidRDefault="00411942">
            <w:pPr>
              <w:spacing w:before="120"/>
              <w:rPr>
                <w:rFonts w:ascii="Arial" w:hAnsi="Arial" w:cs="Arial"/>
                <w:sz w:val="20"/>
                <w:szCs w:val="20"/>
                <w:lang w:val="fr-FR"/>
              </w:rPr>
            </w:pPr>
          </w:p>
        </w:tc>
      </w:tr>
      <w:tr w:rsidR="00411942" w:rsidRPr="00A039EA" w14:paraId="7130E6E6" w14:textId="77777777">
        <w:trPr>
          <w:trHeight w:val="233"/>
          <w:tblHeader/>
        </w:trPr>
        <w:tc>
          <w:tcPr>
            <w:tcW w:w="4230" w:type="dxa"/>
            <w:shd w:val="clear" w:color="auto" w:fill="D6E3BC"/>
            <w:vAlign w:val="center"/>
          </w:tcPr>
          <w:p w14:paraId="3C4647B1" w14:textId="5286996B" w:rsidR="00411942" w:rsidRPr="00E740A4" w:rsidRDefault="004A6B92">
            <w:pPr>
              <w:pStyle w:val="P68B1DB1-Normal2"/>
              <w:spacing w:before="120"/>
              <w:rPr>
                <w:bCs/>
                <w:szCs w:val="20"/>
                <w:lang w:val="fr-FR"/>
              </w:rPr>
            </w:pPr>
            <w:r w:rsidRPr="00E740A4">
              <w:rPr>
                <w:lang w:val="fr-FR"/>
              </w:rPr>
              <w:t>B2.3</w:t>
            </w:r>
            <w:r w:rsidR="00391C3D">
              <w:rPr>
                <w:lang w:val="fr-FR"/>
              </w:rPr>
              <w:t> </w:t>
            </w:r>
            <w:r w:rsidRPr="00E740A4">
              <w:rPr>
                <w:lang w:val="fr-FR"/>
              </w:rPr>
              <w:t>3. Autres partenaires (les nommer)</w:t>
            </w:r>
          </w:p>
        </w:tc>
        <w:tc>
          <w:tcPr>
            <w:tcW w:w="720" w:type="dxa"/>
            <w:shd w:val="clear" w:color="auto" w:fill="D6E3BC"/>
          </w:tcPr>
          <w:p w14:paraId="6F391D33"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7D222DCD"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2344107A"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0538EDAB"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74026853"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1B6922A1" w14:textId="77777777" w:rsidR="00411942" w:rsidRPr="00E740A4" w:rsidRDefault="00411942">
            <w:pPr>
              <w:spacing w:before="120"/>
              <w:rPr>
                <w:rFonts w:ascii="Arial" w:hAnsi="Arial" w:cs="Arial"/>
                <w:sz w:val="20"/>
                <w:szCs w:val="20"/>
                <w:lang w:val="fr-FR"/>
              </w:rPr>
            </w:pPr>
          </w:p>
        </w:tc>
        <w:tc>
          <w:tcPr>
            <w:tcW w:w="810" w:type="dxa"/>
            <w:shd w:val="clear" w:color="auto" w:fill="D6E3BC"/>
          </w:tcPr>
          <w:p w14:paraId="2B623250" w14:textId="77777777" w:rsidR="00411942" w:rsidRPr="00E740A4" w:rsidRDefault="00411942">
            <w:pPr>
              <w:spacing w:before="120"/>
              <w:rPr>
                <w:rFonts w:ascii="Arial" w:hAnsi="Arial" w:cs="Arial"/>
                <w:sz w:val="20"/>
                <w:szCs w:val="20"/>
                <w:lang w:val="fr-FR"/>
              </w:rPr>
            </w:pPr>
          </w:p>
        </w:tc>
      </w:tr>
      <w:tr w:rsidR="00411942" w14:paraId="6D863084" w14:textId="77777777">
        <w:trPr>
          <w:trHeight w:val="233"/>
          <w:tblHeader/>
        </w:trPr>
        <w:tc>
          <w:tcPr>
            <w:tcW w:w="4230" w:type="dxa"/>
            <w:shd w:val="clear" w:color="auto" w:fill="D6E3BC"/>
            <w:vAlign w:val="center"/>
          </w:tcPr>
          <w:p w14:paraId="7C16FC76" w14:textId="7A32221D" w:rsidR="00411942" w:rsidRDefault="004A6B92">
            <w:pPr>
              <w:pStyle w:val="P68B1DB1-Normal2"/>
              <w:spacing w:before="120"/>
              <w:rPr>
                <w:bCs/>
                <w:szCs w:val="20"/>
              </w:rPr>
            </w:pPr>
            <w:r>
              <w:t>Total B</w:t>
            </w:r>
          </w:p>
        </w:tc>
        <w:tc>
          <w:tcPr>
            <w:tcW w:w="720" w:type="dxa"/>
            <w:shd w:val="clear" w:color="auto" w:fill="D6E3BC"/>
          </w:tcPr>
          <w:p w14:paraId="18E04543" w14:textId="77777777" w:rsidR="00411942" w:rsidRDefault="00411942">
            <w:pPr>
              <w:spacing w:before="120"/>
              <w:rPr>
                <w:rFonts w:ascii="Arial" w:hAnsi="Arial" w:cs="Arial"/>
                <w:sz w:val="20"/>
                <w:szCs w:val="20"/>
              </w:rPr>
            </w:pPr>
          </w:p>
        </w:tc>
        <w:tc>
          <w:tcPr>
            <w:tcW w:w="720" w:type="dxa"/>
            <w:shd w:val="clear" w:color="auto" w:fill="D6E3BC"/>
          </w:tcPr>
          <w:p w14:paraId="6ECDE1B2" w14:textId="77777777" w:rsidR="00411942" w:rsidRDefault="00411942">
            <w:pPr>
              <w:spacing w:before="120"/>
              <w:rPr>
                <w:rFonts w:ascii="Arial" w:hAnsi="Arial" w:cs="Arial"/>
                <w:sz w:val="20"/>
                <w:szCs w:val="20"/>
              </w:rPr>
            </w:pPr>
          </w:p>
        </w:tc>
        <w:tc>
          <w:tcPr>
            <w:tcW w:w="720" w:type="dxa"/>
            <w:shd w:val="clear" w:color="auto" w:fill="D6E3BC"/>
          </w:tcPr>
          <w:p w14:paraId="6B585901" w14:textId="77777777" w:rsidR="00411942" w:rsidRDefault="00411942">
            <w:pPr>
              <w:spacing w:before="120"/>
              <w:rPr>
                <w:rFonts w:ascii="Arial" w:hAnsi="Arial" w:cs="Arial"/>
                <w:sz w:val="20"/>
                <w:szCs w:val="20"/>
              </w:rPr>
            </w:pPr>
          </w:p>
        </w:tc>
        <w:tc>
          <w:tcPr>
            <w:tcW w:w="720" w:type="dxa"/>
            <w:shd w:val="clear" w:color="auto" w:fill="D6E3BC"/>
          </w:tcPr>
          <w:p w14:paraId="375B7892" w14:textId="77777777" w:rsidR="00411942" w:rsidRDefault="00411942">
            <w:pPr>
              <w:spacing w:before="120"/>
              <w:rPr>
                <w:rFonts w:ascii="Arial" w:hAnsi="Arial" w:cs="Arial"/>
                <w:sz w:val="20"/>
                <w:szCs w:val="20"/>
              </w:rPr>
            </w:pPr>
          </w:p>
        </w:tc>
        <w:tc>
          <w:tcPr>
            <w:tcW w:w="720" w:type="dxa"/>
            <w:shd w:val="clear" w:color="auto" w:fill="D6E3BC"/>
          </w:tcPr>
          <w:p w14:paraId="4B2D4098" w14:textId="77777777" w:rsidR="00411942" w:rsidRDefault="00411942">
            <w:pPr>
              <w:spacing w:before="120"/>
              <w:rPr>
                <w:rFonts w:ascii="Arial" w:hAnsi="Arial" w:cs="Arial"/>
                <w:sz w:val="20"/>
                <w:szCs w:val="20"/>
              </w:rPr>
            </w:pPr>
          </w:p>
        </w:tc>
        <w:tc>
          <w:tcPr>
            <w:tcW w:w="720" w:type="dxa"/>
            <w:shd w:val="clear" w:color="auto" w:fill="D6E3BC"/>
          </w:tcPr>
          <w:p w14:paraId="2213F2F8" w14:textId="77777777" w:rsidR="00411942" w:rsidRDefault="00411942">
            <w:pPr>
              <w:spacing w:before="120"/>
              <w:rPr>
                <w:rFonts w:ascii="Arial" w:hAnsi="Arial" w:cs="Arial"/>
                <w:sz w:val="20"/>
                <w:szCs w:val="20"/>
              </w:rPr>
            </w:pPr>
          </w:p>
        </w:tc>
        <w:tc>
          <w:tcPr>
            <w:tcW w:w="810" w:type="dxa"/>
            <w:shd w:val="clear" w:color="auto" w:fill="D6E3BC"/>
          </w:tcPr>
          <w:p w14:paraId="725CCF36" w14:textId="77777777" w:rsidR="00411942" w:rsidRDefault="00411942">
            <w:pPr>
              <w:spacing w:before="120"/>
              <w:rPr>
                <w:rFonts w:ascii="Arial" w:hAnsi="Arial" w:cs="Arial"/>
                <w:sz w:val="20"/>
                <w:szCs w:val="20"/>
              </w:rPr>
            </w:pPr>
          </w:p>
        </w:tc>
      </w:tr>
      <w:tr w:rsidR="00411942" w:rsidRPr="00A039EA" w14:paraId="1C5B9F03" w14:textId="77777777">
        <w:trPr>
          <w:trHeight w:val="233"/>
          <w:tblHeader/>
        </w:trPr>
        <w:tc>
          <w:tcPr>
            <w:tcW w:w="4230" w:type="dxa"/>
            <w:shd w:val="clear" w:color="auto" w:fill="D6E3BC"/>
            <w:vAlign w:val="center"/>
          </w:tcPr>
          <w:p w14:paraId="5000395B" w14:textId="2C7118D0" w:rsidR="00411942" w:rsidRPr="00E740A4" w:rsidRDefault="004A6B92">
            <w:pPr>
              <w:pStyle w:val="P68B1DB1-Normal5"/>
              <w:spacing w:before="120"/>
              <w:rPr>
                <w:bCs/>
                <w:szCs w:val="20"/>
                <w:lang w:val="fr-FR"/>
              </w:rPr>
            </w:pPr>
            <w:r w:rsidRPr="00E740A4">
              <w:rPr>
                <w:lang w:val="fr-FR"/>
              </w:rPr>
              <w:t>C : Déficit total attendu dans la réalisation des objectifs (= A – B)</w:t>
            </w:r>
          </w:p>
        </w:tc>
        <w:tc>
          <w:tcPr>
            <w:tcW w:w="720" w:type="dxa"/>
            <w:shd w:val="clear" w:color="auto" w:fill="D6E3BC"/>
          </w:tcPr>
          <w:p w14:paraId="33A52636"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61B7AA66"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5E110184"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4D740576"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770257E8" w14:textId="77777777" w:rsidR="00411942" w:rsidRPr="00E740A4" w:rsidRDefault="00411942">
            <w:pPr>
              <w:spacing w:before="120"/>
              <w:rPr>
                <w:rFonts w:ascii="Arial" w:hAnsi="Arial" w:cs="Arial"/>
                <w:sz w:val="20"/>
                <w:szCs w:val="20"/>
                <w:lang w:val="fr-FR"/>
              </w:rPr>
            </w:pPr>
          </w:p>
        </w:tc>
        <w:tc>
          <w:tcPr>
            <w:tcW w:w="720" w:type="dxa"/>
            <w:shd w:val="clear" w:color="auto" w:fill="D6E3BC"/>
          </w:tcPr>
          <w:p w14:paraId="2FF34988" w14:textId="77777777" w:rsidR="00411942" w:rsidRPr="00E740A4" w:rsidRDefault="00411942">
            <w:pPr>
              <w:spacing w:before="120"/>
              <w:rPr>
                <w:rFonts w:ascii="Arial" w:hAnsi="Arial" w:cs="Arial"/>
                <w:sz w:val="20"/>
                <w:szCs w:val="20"/>
                <w:lang w:val="fr-FR"/>
              </w:rPr>
            </w:pPr>
          </w:p>
        </w:tc>
        <w:tc>
          <w:tcPr>
            <w:tcW w:w="810" w:type="dxa"/>
            <w:shd w:val="clear" w:color="auto" w:fill="D6E3BC"/>
          </w:tcPr>
          <w:p w14:paraId="2358AFC3" w14:textId="77777777" w:rsidR="00411942" w:rsidRPr="00E740A4" w:rsidRDefault="00411942">
            <w:pPr>
              <w:spacing w:before="120"/>
              <w:rPr>
                <w:rFonts w:ascii="Arial" w:hAnsi="Arial" w:cs="Arial"/>
                <w:sz w:val="20"/>
                <w:szCs w:val="20"/>
                <w:lang w:val="fr-FR"/>
              </w:rPr>
            </w:pPr>
          </w:p>
        </w:tc>
      </w:tr>
    </w:tbl>
    <w:p w14:paraId="6F724838" w14:textId="22716942" w:rsidR="00411942" w:rsidRPr="00E740A4" w:rsidRDefault="004A6B92">
      <w:pPr>
        <w:pStyle w:val="P68B1DB1-Default7"/>
        <w:spacing w:before="120"/>
        <w:ind w:right="45"/>
        <w:jc w:val="both"/>
        <w:rPr>
          <w:bCs/>
          <w:iCs/>
          <w:szCs w:val="20"/>
          <w:lang w:val="fr-FR"/>
        </w:rPr>
      </w:pPr>
      <w:r w:rsidRPr="00E740A4">
        <w:rPr>
          <w:lang w:val="fr-FR"/>
        </w:rPr>
        <w:t>L’analyse des</w:t>
      </w:r>
      <w:r w:rsidR="006B1BBA">
        <w:rPr>
          <w:lang w:val="fr-FR"/>
        </w:rPr>
        <w:t xml:space="preserve"> écart</w:t>
      </w:r>
      <w:r w:rsidRPr="00E740A4">
        <w:rPr>
          <w:lang w:val="fr-FR"/>
        </w:rPr>
        <w:t>s doit être effectuée pour toutes les principales interventions et domaines de prestation de services identifiés dans le plan stratégique national. Les chiffres du tableau d</w:t>
      </w:r>
      <w:r w:rsidR="000B498D">
        <w:rPr>
          <w:lang w:val="fr-FR"/>
        </w:rPr>
        <w:t>’</w:t>
      </w:r>
      <w:r w:rsidRPr="00E740A4">
        <w:rPr>
          <w:lang w:val="fr-FR"/>
        </w:rPr>
        <w:t xml:space="preserve">analyse des </w:t>
      </w:r>
      <w:r w:rsidR="006B1BBA">
        <w:rPr>
          <w:lang w:val="fr-FR"/>
        </w:rPr>
        <w:t>écart</w:t>
      </w:r>
      <w:r w:rsidRPr="00E740A4">
        <w:rPr>
          <w:lang w:val="fr-FR"/>
        </w:rPr>
        <w:t xml:space="preserve">s programmatiques sont liés à </w:t>
      </w:r>
      <w:r w:rsidRPr="00E740A4">
        <w:rPr>
          <w:color w:val="auto"/>
          <w:lang w:val="fr-FR"/>
        </w:rPr>
        <w:t>la taille des groupes de population ciblés par les interventions prioritaires, et non aux besoins financiers de ces interventions.</w:t>
      </w:r>
      <w:r w:rsidRPr="00E740A4">
        <w:rPr>
          <w:lang w:val="fr-FR"/>
        </w:rPr>
        <w:t xml:space="preserve"> L’analyse des </w:t>
      </w:r>
      <w:r w:rsidR="006B1BBA">
        <w:rPr>
          <w:lang w:val="fr-FR"/>
        </w:rPr>
        <w:t>déficit</w:t>
      </w:r>
      <w:r w:rsidRPr="00E740A4">
        <w:rPr>
          <w:lang w:val="fr-FR"/>
        </w:rPr>
        <w:t>s financie</w:t>
      </w:r>
      <w:r w:rsidR="006B1BBA">
        <w:rPr>
          <w:lang w:val="fr-FR"/>
        </w:rPr>
        <w:t>r</w:t>
      </w:r>
      <w:r w:rsidRPr="00E740A4">
        <w:rPr>
          <w:lang w:val="fr-FR"/>
        </w:rPr>
        <w:t>s constituera la deuxième étape du processus.</w:t>
      </w:r>
    </w:p>
    <w:p w14:paraId="35A4CAEA" w14:textId="24D21D70" w:rsidR="00411942" w:rsidRPr="00E740A4" w:rsidRDefault="004A6B92">
      <w:pPr>
        <w:pStyle w:val="Heading1"/>
        <w:spacing w:before="120"/>
        <w:rPr>
          <w:lang w:val="fr-FR"/>
        </w:rPr>
      </w:pPr>
      <w:r w:rsidRPr="00E740A4">
        <w:rPr>
          <w:lang w:val="fr-FR"/>
        </w:rPr>
        <w:t xml:space="preserve">Notes d’orientation spécifiques pour l’analyse des </w:t>
      </w:r>
      <w:r w:rsidR="000B5601">
        <w:rPr>
          <w:lang w:val="fr-FR"/>
        </w:rPr>
        <w:t>écart</w:t>
      </w:r>
      <w:r w:rsidRPr="00E740A4">
        <w:rPr>
          <w:lang w:val="fr-FR"/>
        </w:rPr>
        <w:t>s</w:t>
      </w:r>
    </w:p>
    <w:p w14:paraId="0E0954B8" w14:textId="233E1846" w:rsidR="00411942" w:rsidRPr="00E740A4" w:rsidRDefault="004A6B92">
      <w:pPr>
        <w:pStyle w:val="P68B1DB1-Heading23"/>
        <w:spacing w:before="120"/>
        <w:rPr>
          <w:szCs w:val="20"/>
          <w:lang w:val="fr-FR"/>
        </w:rPr>
      </w:pPr>
      <w:r w:rsidRPr="00E740A4">
        <w:rPr>
          <w:lang w:val="fr-FR"/>
        </w:rPr>
        <w:t xml:space="preserve">Analyse des </w:t>
      </w:r>
      <w:r w:rsidR="000B5601">
        <w:rPr>
          <w:lang w:val="fr-FR"/>
        </w:rPr>
        <w:t>écart</w:t>
      </w:r>
      <w:r w:rsidRPr="00E740A4">
        <w:rPr>
          <w:lang w:val="fr-FR"/>
        </w:rPr>
        <w:t>s en matière de MII</w:t>
      </w:r>
    </w:p>
    <w:p w14:paraId="5E015B85" w14:textId="44AA0E41" w:rsidR="00411942" w:rsidRPr="00E740A4" w:rsidRDefault="004A6B92">
      <w:pPr>
        <w:pStyle w:val="P68B1DB1-ListParagraph4"/>
        <w:numPr>
          <w:ilvl w:val="0"/>
          <w:numId w:val="4"/>
        </w:numPr>
        <w:spacing w:before="120"/>
        <w:jc w:val="both"/>
        <w:rPr>
          <w:szCs w:val="20"/>
          <w:lang w:val="fr-FR"/>
        </w:rPr>
      </w:pPr>
      <w:r w:rsidRPr="00E740A4">
        <w:rPr>
          <w:lang w:val="fr-FR"/>
        </w:rPr>
        <w:t>Noter ce que représente la population totale</w:t>
      </w:r>
    </w:p>
    <w:p w14:paraId="7290429B" w14:textId="11501FCE" w:rsidR="00411942" w:rsidRPr="00E740A4" w:rsidRDefault="004A6B92">
      <w:pPr>
        <w:pStyle w:val="ListParagraph"/>
        <w:numPr>
          <w:ilvl w:val="0"/>
          <w:numId w:val="4"/>
        </w:numPr>
        <w:spacing w:before="120"/>
        <w:jc w:val="both"/>
        <w:rPr>
          <w:rFonts w:ascii="Arial" w:hAnsi="Arial" w:cs="Arial"/>
          <w:sz w:val="20"/>
          <w:szCs w:val="20"/>
          <w:lang w:val="fr-FR"/>
        </w:rPr>
      </w:pPr>
      <w:r w:rsidRPr="00E740A4">
        <w:rPr>
          <w:rFonts w:ascii="Arial" w:hAnsi="Arial" w:cs="Arial"/>
          <w:sz w:val="20"/>
          <w:lang w:val="fr-FR"/>
        </w:rPr>
        <w:t>Définir la population ciblée. Une couverture durable et élevée exige à la fois des campagnes de masse périodiques et une distribution continue de moustiquaires. La priorité doit être donnée à la distribution régulière des MII par le biais de cliniques prénatales ou du programme élargi de vaccination afin d’assurer un accès durable aux MII pour les populations les plus vulnérables sur le plan biologique.</w:t>
      </w:r>
    </w:p>
    <w:p w14:paraId="1D5538A5" w14:textId="23749244" w:rsidR="00411942" w:rsidRDefault="004A6B92">
      <w:pPr>
        <w:pStyle w:val="P68B1DB1-ListParagraph4"/>
        <w:numPr>
          <w:ilvl w:val="0"/>
          <w:numId w:val="4"/>
        </w:numPr>
        <w:spacing w:before="120"/>
        <w:jc w:val="both"/>
        <w:rPr>
          <w:szCs w:val="20"/>
        </w:rPr>
      </w:pPr>
      <w:r>
        <w:t>Campagnes de masse</w:t>
      </w:r>
    </w:p>
    <w:p w14:paraId="3D8D2921" w14:textId="02B46DCB" w:rsidR="00411942" w:rsidRPr="00E740A4" w:rsidRDefault="004A6B92">
      <w:pPr>
        <w:pStyle w:val="P68B1DB1-ListParagraph4"/>
        <w:numPr>
          <w:ilvl w:val="0"/>
          <w:numId w:val="13"/>
        </w:numPr>
        <w:spacing w:before="120"/>
        <w:jc w:val="both"/>
        <w:rPr>
          <w:szCs w:val="20"/>
          <w:lang w:val="fr-FR"/>
        </w:rPr>
      </w:pPr>
      <w:r w:rsidRPr="00E740A4">
        <w:rPr>
          <w:lang w:val="fr-FR"/>
        </w:rPr>
        <w:t>Définir les populations vivant dans des zones impaludées devant être ciblées pour des campagnes. Les populations ciblées varieront en fonction de l’épidémiologie, de la hiérarchisation des plans stratégiques nationaux et des ciblages prévus. Note</w:t>
      </w:r>
      <w:r w:rsidR="00EF7C96">
        <w:rPr>
          <w:lang w:val="fr-FR"/>
        </w:rPr>
        <w:t>r</w:t>
      </w:r>
      <w:r w:rsidRPr="00E740A4">
        <w:rPr>
          <w:lang w:val="fr-FR"/>
        </w:rPr>
        <w:t xml:space="preserve"> les hypothèses du récit (par exemple, le ciblage ne comprend pas les grandes zones urbaines où le fardeau est très faible, mais il inclut les populations de réfugiés).</w:t>
      </w:r>
    </w:p>
    <w:p w14:paraId="1F620D9D" w14:textId="75B959F0" w:rsidR="00411942" w:rsidRPr="00E740A4" w:rsidRDefault="004A6B92">
      <w:pPr>
        <w:pStyle w:val="P68B1DB1-ListParagraph4"/>
        <w:numPr>
          <w:ilvl w:val="0"/>
          <w:numId w:val="13"/>
        </w:numPr>
        <w:spacing w:before="120"/>
        <w:jc w:val="both"/>
        <w:rPr>
          <w:szCs w:val="20"/>
          <w:lang w:val="fr-FR"/>
        </w:rPr>
      </w:pPr>
      <w:r w:rsidRPr="00E740A4">
        <w:rPr>
          <w:lang w:val="fr-FR"/>
        </w:rPr>
        <w:t>Insérer des détails sur les hypothèses si la population dégagée du recensement</w:t>
      </w:r>
      <w:r w:rsidR="00EF7C96">
        <w:rPr>
          <w:lang w:val="fr-FR"/>
        </w:rPr>
        <w:t xml:space="preserve"> n’est pas utilisée</w:t>
      </w:r>
      <w:r w:rsidRPr="00E740A4">
        <w:rPr>
          <w:lang w:val="fr-FR"/>
        </w:rPr>
        <w:t>. Par exemple, «</w:t>
      </w:r>
      <w:r w:rsidR="00391C3D">
        <w:rPr>
          <w:lang w:val="fr-FR"/>
        </w:rPr>
        <w:t> </w:t>
      </w:r>
      <w:r w:rsidRPr="00E740A4">
        <w:rPr>
          <w:lang w:val="fr-FR"/>
        </w:rPr>
        <w:t xml:space="preserve">Les </w:t>
      </w:r>
      <w:r w:rsidR="009A5F01">
        <w:rPr>
          <w:lang w:val="fr-FR"/>
        </w:rPr>
        <w:t>recensements</w:t>
      </w:r>
      <w:r w:rsidR="009A5F01" w:rsidRPr="00E740A4">
        <w:rPr>
          <w:lang w:val="fr-FR"/>
        </w:rPr>
        <w:t xml:space="preserve"> </w:t>
      </w:r>
      <w:r w:rsidRPr="00E740A4">
        <w:rPr>
          <w:lang w:val="fr-FR"/>
        </w:rPr>
        <w:t>de la campagne précédente sont utilisées avec un ajustement de -2 % pour tenir compte de la faible inscription dans certaines régions ; la population ajustée de la campagne précédente est censée utiliser le taux de croissance de la population nationale de 3 %.</w:t>
      </w:r>
      <w:r w:rsidR="00391C3D">
        <w:rPr>
          <w:lang w:val="fr-FR"/>
        </w:rPr>
        <w:t> </w:t>
      </w:r>
      <w:r w:rsidRPr="00E740A4">
        <w:rPr>
          <w:lang w:val="fr-FR"/>
        </w:rPr>
        <w:t>»</w:t>
      </w:r>
    </w:p>
    <w:p w14:paraId="293E0E13" w14:textId="14732FCE" w:rsidR="00411942" w:rsidRPr="00E740A4" w:rsidRDefault="004A6B92">
      <w:pPr>
        <w:pStyle w:val="P68B1DB1-ListParagraph4"/>
        <w:numPr>
          <w:ilvl w:val="0"/>
          <w:numId w:val="13"/>
        </w:numPr>
        <w:spacing w:before="120"/>
        <w:jc w:val="both"/>
        <w:rPr>
          <w:szCs w:val="20"/>
          <w:lang w:val="fr-FR"/>
        </w:rPr>
      </w:pPr>
      <w:r w:rsidRPr="00E740A4">
        <w:rPr>
          <w:lang w:val="fr-FR"/>
        </w:rPr>
        <w:t>Dans la majorité des pays, des campagnes sont menées tous les trois ans. Les pays menant des campagnes permanentes ou plus fréquentes doivent établir la proportion de la population qu</w:t>
      </w:r>
      <w:r w:rsidR="000B498D">
        <w:rPr>
          <w:lang w:val="fr-FR"/>
        </w:rPr>
        <w:t>’</w:t>
      </w:r>
      <w:r w:rsidRPr="00E740A4">
        <w:rPr>
          <w:lang w:val="fr-FR"/>
        </w:rPr>
        <w:t>il s</w:t>
      </w:r>
      <w:r w:rsidR="000B498D">
        <w:rPr>
          <w:lang w:val="fr-FR"/>
        </w:rPr>
        <w:t>’</w:t>
      </w:r>
      <w:r w:rsidRPr="00E740A4">
        <w:rPr>
          <w:lang w:val="fr-FR"/>
        </w:rPr>
        <w:t xml:space="preserve">agit de couvrir chaque année. Lorsque des campagnes sont proposées de manière plus </w:t>
      </w:r>
      <w:r w:rsidRPr="00E740A4">
        <w:rPr>
          <w:lang w:val="fr-FR"/>
        </w:rPr>
        <w:lastRenderedPageBreak/>
        <w:t>fréquente, il faut inclure des données sur la longévité des MII (données de suivi de la durabilité) pour justifier l’espacement des campagnes.</w:t>
      </w:r>
    </w:p>
    <w:p w14:paraId="087B6EF2" w14:textId="1CB2C91B" w:rsidR="00411942" w:rsidRPr="00E740A4" w:rsidRDefault="004A6B92">
      <w:pPr>
        <w:pStyle w:val="P68B1DB1-ListParagraph4"/>
        <w:numPr>
          <w:ilvl w:val="0"/>
          <w:numId w:val="12"/>
        </w:numPr>
        <w:spacing w:before="120"/>
        <w:jc w:val="both"/>
        <w:rPr>
          <w:szCs w:val="20"/>
          <w:lang w:val="fr-FR"/>
        </w:rPr>
      </w:pPr>
      <w:r w:rsidRPr="00E740A4">
        <w:rPr>
          <w:lang w:val="fr-FR"/>
        </w:rPr>
        <w:t>L’estimation des besoins en moustiquaires pour les campagnes est calculée en se basant sur une moustiquaire pour deux personnes dans les régions impaludées. Sur la base des expériences menées en Afrique et pour tenir compte des personnes vivant dans des ménages comptant un nombre impair de membres de la famille, l’OMS et le Partenariat RBM vous recommandent d’utiliser un calcul de la population cible (A) divisé par 1,8 (A/1,8). Si les données historiques montrent qu</w:t>
      </w:r>
      <w:r w:rsidR="000B498D">
        <w:rPr>
          <w:lang w:val="fr-FR"/>
        </w:rPr>
        <w:t>’</w:t>
      </w:r>
      <w:r w:rsidRPr="00E740A4">
        <w:rPr>
          <w:lang w:val="fr-FR"/>
        </w:rPr>
        <w:t>un facteur différent devrait être utilisé, mentionne</w:t>
      </w:r>
      <w:r w:rsidR="00EF7C96">
        <w:rPr>
          <w:lang w:val="fr-FR"/>
        </w:rPr>
        <w:t>r</w:t>
      </w:r>
      <w:r w:rsidRPr="00E740A4">
        <w:rPr>
          <w:lang w:val="fr-FR"/>
        </w:rPr>
        <w:t xml:space="preserve"> une justification pour ce facteur différent.</w:t>
      </w:r>
    </w:p>
    <w:p w14:paraId="1BA11E0C" w14:textId="0E06764C" w:rsidR="00411942" w:rsidRPr="00E740A4" w:rsidRDefault="004A6B92">
      <w:pPr>
        <w:pStyle w:val="P68B1DB1-ListParagraph4"/>
        <w:numPr>
          <w:ilvl w:val="0"/>
          <w:numId w:val="11"/>
        </w:numPr>
        <w:spacing w:before="120"/>
        <w:jc w:val="both"/>
        <w:rPr>
          <w:szCs w:val="20"/>
          <w:lang w:val="fr-FR"/>
        </w:rPr>
      </w:pPr>
      <w:r w:rsidRPr="00E740A4">
        <w:rPr>
          <w:lang w:val="fr-FR"/>
        </w:rPr>
        <w:t>Pour les pays où le recensement date d</w:t>
      </w:r>
      <w:r w:rsidR="000B498D">
        <w:rPr>
          <w:lang w:val="fr-FR"/>
        </w:rPr>
        <w:t>’</w:t>
      </w:r>
      <w:r w:rsidRPr="00E740A4">
        <w:rPr>
          <w:lang w:val="fr-FR"/>
        </w:rPr>
        <w:t>il y a plus de 5 ans, envisage</w:t>
      </w:r>
      <w:r w:rsidR="00EF7C96">
        <w:rPr>
          <w:lang w:val="fr-FR"/>
        </w:rPr>
        <w:t>r</w:t>
      </w:r>
      <w:r w:rsidRPr="00E740A4">
        <w:rPr>
          <w:lang w:val="fr-FR"/>
        </w:rPr>
        <w:t xml:space="preserve"> d</w:t>
      </w:r>
      <w:r w:rsidR="000B498D">
        <w:rPr>
          <w:lang w:val="fr-FR"/>
        </w:rPr>
        <w:t>’</w:t>
      </w:r>
      <w:r w:rsidRPr="00E740A4">
        <w:rPr>
          <w:lang w:val="fr-FR"/>
        </w:rPr>
        <w:t>inclure un facteur tampon de 10 % ou d</w:t>
      </w:r>
      <w:r w:rsidR="000B498D">
        <w:rPr>
          <w:lang w:val="fr-FR"/>
        </w:rPr>
        <w:t>’</w:t>
      </w:r>
      <w:r w:rsidRPr="00E740A4">
        <w:rPr>
          <w:lang w:val="fr-FR"/>
        </w:rPr>
        <w:t xml:space="preserve">utiliser les données des campagnes précédentes pour justifier un nombre tampon. Ne pas </w:t>
      </w:r>
      <w:r w:rsidR="00EF7C96">
        <w:rPr>
          <w:lang w:val="fr-FR"/>
        </w:rPr>
        <w:t xml:space="preserve">oublier </w:t>
      </w:r>
      <w:r w:rsidRPr="00E740A4">
        <w:rPr>
          <w:lang w:val="fr-FR"/>
        </w:rPr>
        <w:t>de noter la date du recensement et les hypothèses sous-jacentes.</w:t>
      </w:r>
    </w:p>
    <w:p w14:paraId="6B6FB09A" w14:textId="4C067AE5" w:rsidR="00411942" w:rsidRDefault="004A6B92">
      <w:pPr>
        <w:pStyle w:val="P68B1DB1-ListParagraph4"/>
        <w:numPr>
          <w:ilvl w:val="0"/>
          <w:numId w:val="4"/>
        </w:numPr>
        <w:spacing w:before="120"/>
        <w:jc w:val="both"/>
        <w:rPr>
          <w:szCs w:val="20"/>
        </w:rPr>
      </w:pPr>
      <w:r>
        <w:t>Distribution continue</w:t>
      </w:r>
    </w:p>
    <w:p w14:paraId="6D6BA9BA" w14:textId="25537EBF" w:rsidR="00411942" w:rsidRPr="00E740A4" w:rsidRDefault="004A6B92">
      <w:pPr>
        <w:pStyle w:val="P68B1DB1-ListParagraph4"/>
        <w:numPr>
          <w:ilvl w:val="0"/>
          <w:numId w:val="12"/>
        </w:numPr>
        <w:spacing w:before="120"/>
        <w:jc w:val="both"/>
        <w:rPr>
          <w:szCs w:val="20"/>
          <w:lang w:val="fr-FR"/>
        </w:rPr>
      </w:pPr>
      <w:r w:rsidRPr="00E740A4">
        <w:rPr>
          <w:lang w:val="fr-FR"/>
        </w:rPr>
        <w:t>L’OMS et le Partenariat RBM recommandent que des moustiquaires soient distribuées par des canaux de distribution continus afin que la couverture entre les campagnes soit maintenue, notamment au bénéfice des écoles, des établissements de santé (distribution par le biais des soins prénata</w:t>
      </w:r>
      <w:r w:rsidR="009215ED">
        <w:rPr>
          <w:lang w:val="fr-FR"/>
        </w:rPr>
        <w:t>ls</w:t>
      </w:r>
      <w:r w:rsidRPr="00E740A4">
        <w:rPr>
          <w:lang w:val="fr-FR"/>
        </w:rPr>
        <w:t xml:space="preserve"> lors de la première visite des femmes enceintes ainsi qu</w:t>
      </w:r>
      <w:r w:rsidR="000B498D">
        <w:rPr>
          <w:lang w:val="fr-FR"/>
        </w:rPr>
        <w:t>’</w:t>
      </w:r>
      <w:r w:rsidRPr="00E740A4">
        <w:rPr>
          <w:lang w:val="fr-FR"/>
        </w:rPr>
        <w:t>aux nourrissons par le biais du PEV de routine, généralement en parallèle de la vaccination pour le DTP3 ou contre la rougeole), des communautés (par le biais des agents de santé communautaires) ainsi que d’autres parties concernées, afin d</w:t>
      </w:r>
      <w:r w:rsidR="000B498D">
        <w:rPr>
          <w:lang w:val="fr-FR"/>
        </w:rPr>
        <w:t>’</w:t>
      </w:r>
      <w:r w:rsidRPr="00E740A4">
        <w:rPr>
          <w:lang w:val="fr-FR"/>
        </w:rPr>
        <w:t>assurer l’accès aux MII par les membres des groupes de population spécifiques tels que les personnes déplacées et les réfugiés.</w:t>
      </w:r>
    </w:p>
    <w:p w14:paraId="48111318" w14:textId="17332369" w:rsidR="00411942" w:rsidRPr="00E740A4" w:rsidRDefault="004A6B92">
      <w:pPr>
        <w:pStyle w:val="P68B1DB1-ListParagraph4"/>
        <w:numPr>
          <w:ilvl w:val="0"/>
          <w:numId w:val="16"/>
        </w:numPr>
        <w:spacing w:before="120"/>
        <w:jc w:val="both"/>
        <w:rPr>
          <w:szCs w:val="20"/>
          <w:lang w:val="fr-FR"/>
        </w:rPr>
      </w:pPr>
      <w:r w:rsidRPr="00E740A4">
        <w:rPr>
          <w:lang w:val="fr-FR"/>
        </w:rPr>
        <w:t xml:space="preserve">Pour la distribution à grande échelle dans les écoles (et non les campagnes de masse), le besoin annuel de MII peut être quantifié en utilisant 15 % à 22 % de la population (avec des recommandations plus détaillées pour les pays spécifiques qui sont disponibles </w:t>
      </w:r>
      <w:hyperlink r:id="rId10" w:tooltip="Original URL: https://htmlpreview.github.io/?https://github.com/hkoenker/Quantification/blob/master/output/Scenario_2_and_3_Quantifiers_Table_Full_Version.html  Click to follow link." w:history="1">
        <w:r w:rsidRPr="00E740A4">
          <w:rPr>
            <w:color w:val="0070C0"/>
            <w:lang w:val="fr-FR"/>
          </w:rPr>
          <w:t>ici</w:t>
        </w:r>
      </w:hyperlink>
      <w:r w:rsidRPr="00E740A4">
        <w:rPr>
          <w:lang w:val="fr-FR"/>
        </w:rPr>
        <w:t xml:space="preserve"> même, dans la section du scénario</w:t>
      </w:r>
      <w:r w:rsidR="00391C3D">
        <w:rPr>
          <w:lang w:val="fr-FR"/>
        </w:rPr>
        <w:t> </w:t>
      </w:r>
      <w:r w:rsidRPr="00E740A4">
        <w:rPr>
          <w:lang w:val="fr-FR"/>
        </w:rPr>
        <w:t xml:space="preserve">2). Pour la distribution </w:t>
      </w:r>
      <w:r w:rsidR="008B0F20">
        <w:rPr>
          <w:lang w:val="fr-FR"/>
        </w:rPr>
        <w:t xml:space="preserve">en milieu </w:t>
      </w:r>
      <w:r w:rsidRPr="00E740A4">
        <w:rPr>
          <w:lang w:val="fr-FR"/>
        </w:rPr>
        <w:t>scolaire dans l</w:t>
      </w:r>
      <w:r w:rsidR="000B498D">
        <w:rPr>
          <w:lang w:val="fr-FR"/>
        </w:rPr>
        <w:t>’</w:t>
      </w:r>
      <w:r w:rsidRPr="00E740A4">
        <w:rPr>
          <w:lang w:val="fr-FR"/>
        </w:rPr>
        <w:t xml:space="preserve">intervalle </w:t>
      </w:r>
      <w:r w:rsidR="000F3F10">
        <w:rPr>
          <w:lang w:val="fr-FR"/>
        </w:rPr>
        <w:t>entre l</w:t>
      </w:r>
      <w:r w:rsidRPr="00E740A4">
        <w:rPr>
          <w:lang w:val="fr-FR"/>
        </w:rPr>
        <w:t xml:space="preserve">es campagnes, les recommandations de quantification sont disponibles </w:t>
      </w:r>
      <w:r w:rsidRPr="00E740A4">
        <w:rPr>
          <w:color w:val="0070C0"/>
          <w:lang w:val="fr-FR"/>
        </w:rPr>
        <w:t xml:space="preserve">au </w:t>
      </w:r>
      <w:hyperlink r:id="rId11" w:tooltip="Original URL: https://htmlpreview.github.io/?https://github.com/hkoenker/Quantification/blob/master/output/Scenario_2_and_3_Quantifiers_Table_Full_Version.html  Click to follow link." w:history="1">
        <w:r w:rsidRPr="00E740A4">
          <w:rPr>
            <w:color w:val="0070C0"/>
            <w:lang w:val="fr-FR"/>
          </w:rPr>
          <w:t>même lien qui figure ci-dessus</w:t>
        </w:r>
      </w:hyperlink>
      <w:r w:rsidRPr="00E740A4">
        <w:rPr>
          <w:lang w:val="fr-FR"/>
        </w:rPr>
        <w:t>, dans la section du scénario</w:t>
      </w:r>
      <w:r w:rsidR="00391C3D">
        <w:rPr>
          <w:lang w:val="fr-FR"/>
        </w:rPr>
        <w:t> </w:t>
      </w:r>
      <w:r w:rsidRPr="00E740A4">
        <w:rPr>
          <w:lang w:val="fr-FR"/>
        </w:rPr>
        <w:t>3. Le nombre de MII qui en ressortira devra ensuite être comparé à la population du niveau primaire et au nombre d</w:t>
      </w:r>
      <w:r w:rsidR="000B498D">
        <w:rPr>
          <w:lang w:val="fr-FR"/>
        </w:rPr>
        <w:t>’</w:t>
      </w:r>
      <w:r w:rsidRPr="00E740A4">
        <w:rPr>
          <w:lang w:val="fr-FR"/>
        </w:rPr>
        <w:t>élèves inscrits dans les différentes classes, en utilisant les données d</w:t>
      </w:r>
      <w:r w:rsidR="000B498D">
        <w:rPr>
          <w:lang w:val="fr-FR"/>
        </w:rPr>
        <w:t>’</w:t>
      </w:r>
      <w:r w:rsidRPr="00E740A4">
        <w:rPr>
          <w:lang w:val="fr-FR"/>
        </w:rPr>
        <w:t>inscription du ministère de l</w:t>
      </w:r>
      <w:r w:rsidR="000B498D">
        <w:rPr>
          <w:lang w:val="fr-FR"/>
        </w:rPr>
        <w:t>’</w:t>
      </w:r>
      <w:r w:rsidRPr="00E740A4">
        <w:rPr>
          <w:lang w:val="fr-FR"/>
        </w:rPr>
        <w:t>Éducation. Sélectionne</w:t>
      </w:r>
      <w:r w:rsidR="009038F6">
        <w:rPr>
          <w:lang w:val="fr-FR"/>
        </w:rPr>
        <w:t>r</w:t>
      </w:r>
      <w:r w:rsidRPr="00E740A4">
        <w:rPr>
          <w:lang w:val="fr-FR"/>
        </w:rPr>
        <w:t xml:space="preserve"> le nombre de classes qui correspondent le mieux au nombre de MII à distribuer dans les écoles. Comme les taux d</w:t>
      </w:r>
      <w:r w:rsidR="000B498D">
        <w:rPr>
          <w:lang w:val="fr-FR"/>
        </w:rPr>
        <w:t>’</w:t>
      </w:r>
      <w:r w:rsidRPr="00E740A4">
        <w:rPr>
          <w:lang w:val="fr-FR"/>
        </w:rPr>
        <w:t>inscription peuvent varier dans tout le pays, il est possible que certaines régions nécessitent la couverture d</w:t>
      </w:r>
      <w:r w:rsidR="000B498D">
        <w:rPr>
          <w:lang w:val="fr-FR"/>
        </w:rPr>
        <w:t>’</w:t>
      </w:r>
      <w:r w:rsidRPr="00E740A4">
        <w:rPr>
          <w:lang w:val="fr-FR"/>
        </w:rPr>
        <w:t>un plus grand nombre de classes pour les livraisons de MII que d</w:t>
      </w:r>
      <w:r w:rsidR="000B498D">
        <w:rPr>
          <w:lang w:val="fr-FR"/>
        </w:rPr>
        <w:t>’</w:t>
      </w:r>
      <w:r w:rsidRPr="00E740A4">
        <w:rPr>
          <w:lang w:val="fr-FR"/>
        </w:rPr>
        <w:t>autres régions. Si des renseignements à jour sur les inscriptions ne sont pas disponibles à temps pour le processus de planification, les données d</w:t>
      </w:r>
      <w:r w:rsidR="000B498D">
        <w:rPr>
          <w:lang w:val="fr-FR"/>
        </w:rPr>
        <w:t>’</w:t>
      </w:r>
      <w:r w:rsidRPr="00E740A4">
        <w:rPr>
          <w:lang w:val="fr-FR"/>
        </w:rPr>
        <w:t>inscription de l</w:t>
      </w:r>
      <w:r w:rsidR="000B498D">
        <w:rPr>
          <w:lang w:val="fr-FR"/>
        </w:rPr>
        <w:t>’</w:t>
      </w:r>
      <w:r w:rsidRPr="00E740A4">
        <w:rPr>
          <w:lang w:val="fr-FR"/>
        </w:rPr>
        <w:t>année précédente peuvent être utilisées comme meilleure estimation. Dans ce cas, un petit stock tampon (~2 %, ou calculé en fonction des fluctuations de l</w:t>
      </w:r>
      <w:r w:rsidR="000B498D">
        <w:rPr>
          <w:lang w:val="fr-FR"/>
        </w:rPr>
        <w:t>’</w:t>
      </w:r>
      <w:r w:rsidRPr="00E740A4">
        <w:rPr>
          <w:lang w:val="fr-FR"/>
        </w:rPr>
        <w:t>inscription des années précédentes) peut être livré à chaque école pour s</w:t>
      </w:r>
      <w:r w:rsidR="000B498D">
        <w:rPr>
          <w:lang w:val="fr-FR"/>
        </w:rPr>
        <w:t>’</w:t>
      </w:r>
      <w:r w:rsidRPr="00E740A4">
        <w:rPr>
          <w:lang w:val="fr-FR"/>
        </w:rPr>
        <w:t>assurer que tous les élèves des classes ciblées reçoivent un MII.</w:t>
      </w:r>
    </w:p>
    <w:p w14:paraId="7CB9DF9E" w14:textId="2704CCED" w:rsidR="00411942" w:rsidRPr="00E740A4" w:rsidRDefault="004A6B92">
      <w:pPr>
        <w:pStyle w:val="P68B1DB1-Normal2"/>
        <w:spacing w:before="120"/>
        <w:ind w:left="720"/>
        <w:jc w:val="both"/>
        <w:rPr>
          <w:szCs w:val="20"/>
          <w:lang w:val="fr-FR"/>
        </w:rPr>
      </w:pPr>
      <w:r w:rsidRPr="00E740A4">
        <w:rPr>
          <w:lang w:val="fr-FR"/>
        </w:rPr>
        <w:t>Remarque : Veille</w:t>
      </w:r>
      <w:r w:rsidR="009038F6">
        <w:rPr>
          <w:lang w:val="fr-FR"/>
        </w:rPr>
        <w:t>r</w:t>
      </w:r>
      <w:r w:rsidRPr="00E740A4">
        <w:rPr>
          <w:lang w:val="fr-FR"/>
        </w:rPr>
        <w:t xml:space="preserve"> à ce que toutes les hypothèses pour la distribution en milieu scolaire soient bien décrites dans la section des hypothèses du tableau d</w:t>
      </w:r>
      <w:r w:rsidR="000B498D">
        <w:rPr>
          <w:lang w:val="fr-FR"/>
        </w:rPr>
        <w:t>’</w:t>
      </w:r>
      <w:r w:rsidRPr="00E740A4">
        <w:rPr>
          <w:lang w:val="fr-FR"/>
        </w:rPr>
        <w:t>analyse des lacunes, y compris le choix des classes, de la fréquence et du type de MII.</w:t>
      </w:r>
    </w:p>
    <w:p w14:paraId="45BCB5A4" w14:textId="62BC316A" w:rsidR="00411942" w:rsidRPr="00E740A4" w:rsidRDefault="004A6B92">
      <w:pPr>
        <w:pStyle w:val="P68B1DB1-ListParagraph4"/>
        <w:numPr>
          <w:ilvl w:val="0"/>
          <w:numId w:val="16"/>
        </w:numPr>
        <w:spacing w:before="120"/>
        <w:jc w:val="both"/>
        <w:rPr>
          <w:szCs w:val="20"/>
          <w:lang w:val="fr-FR"/>
        </w:rPr>
      </w:pPr>
      <w:r w:rsidRPr="00E740A4">
        <w:rPr>
          <w:lang w:val="fr-FR"/>
        </w:rPr>
        <w:t>Si le pays utilise d</w:t>
      </w:r>
      <w:r w:rsidR="000B498D">
        <w:rPr>
          <w:lang w:val="fr-FR"/>
        </w:rPr>
        <w:t>’</w:t>
      </w:r>
      <w:r w:rsidRPr="00E740A4">
        <w:rPr>
          <w:lang w:val="fr-FR"/>
        </w:rPr>
        <w:t xml:space="preserve">autres canaux tels que la distribution au niveau des communautés, le besoin total annuel de MII pour une distribution continue (par le biais de tout canal non </w:t>
      </w:r>
      <w:r w:rsidR="009A5F01">
        <w:rPr>
          <w:lang w:val="fr-FR"/>
        </w:rPr>
        <w:t>CPN</w:t>
      </w:r>
      <w:r w:rsidRPr="00E740A4">
        <w:rPr>
          <w:lang w:val="fr-FR"/>
        </w:rPr>
        <w:t xml:space="preserve">/PEV) peut également être quantifié en utilisant 15 % à 22 % de la population (avec des recommandations plus détaillées pour les pays spécifiques qui sont disponibles </w:t>
      </w:r>
      <w:hyperlink r:id="rId12" w:tooltip="Original URL: https://htmlpreview.github.io/?https://github.com/hkoenker/Quantification/blob/master/output/Scenario_2_and_3_Quantifiers_Table_Full_Version.html  Click to follow link." w:history="1">
        <w:r w:rsidRPr="00E740A4">
          <w:rPr>
            <w:color w:val="0070C0"/>
            <w:lang w:val="fr-FR"/>
          </w:rPr>
          <w:t>ici</w:t>
        </w:r>
      </w:hyperlink>
      <w:r w:rsidRPr="00E740A4">
        <w:rPr>
          <w:lang w:val="fr-FR"/>
        </w:rPr>
        <w:t xml:space="preserve"> dans la section du scénario</w:t>
      </w:r>
      <w:r w:rsidR="00391C3D">
        <w:rPr>
          <w:lang w:val="fr-FR"/>
        </w:rPr>
        <w:t> </w:t>
      </w:r>
      <w:r w:rsidRPr="00E740A4">
        <w:rPr>
          <w:lang w:val="fr-FR"/>
        </w:rPr>
        <w:t>2). Pour la distribution communautaire dans l</w:t>
      </w:r>
      <w:r w:rsidR="000B498D">
        <w:rPr>
          <w:lang w:val="fr-FR"/>
        </w:rPr>
        <w:t>’</w:t>
      </w:r>
      <w:r w:rsidRPr="00E740A4">
        <w:rPr>
          <w:lang w:val="fr-FR"/>
        </w:rPr>
        <w:t xml:space="preserve">intervalle entre les campagnes, les recommandations de quantification sont disponibles au </w:t>
      </w:r>
      <w:hyperlink r:id="rId13" w:tooltip="Original URL: https://htmlpreview.github.io/?https://github.com/hkoenker/Quantification/blob/master/output/Scenario_2_and_3_Quantifiers_Table_Full_Version.html  Click to follow link." w:history="1">
        <w:r w:rsidRPr="00E740A4">
          <w:rPr>
            <w:color w:val="0070C0"/>
            <w:lang w:val="fr-FR"/>
          </w:rPr>
          <w:t>même lien ci-dessus</w:t>
        </w:r>
      </w:hyperlink>
      <w:r w:rsidRPr="00E740A4">
        <w:rPr>
          <w:lang w:val="fr-FR"/>
        </w:rPr>
        <w:t>, dans la section du scénario</w:t>
      </w:r>
      <w:r w:rsidR="00391C3D">
        <w:rPr>
          <w:lang w:val="fr-FR"/>
        </w:rPr>
        <w:t> </w:t>
      </w:r>
      <w:r w:rsidRPr="00E740A4">
        <w:rPr>
          <w:lang w:val="fr-FR"/>
        </w:rPr>
        <w:t xml:space="preserve">3. Si la mise en œuvre </w:t>
      </w:r>
      <w:r w:rsidR="000F3F10">
        <w:rPr>
          <w:lang w:val="fr-FR"/>
        </w:rPr>
        <w:t>à travers l</w:t>
      </w:r>
      <w:r w:rsidRPr="00E740A4">
        <w:rPr>
          <w:lang w:val="fr-FR"/>
        </w:rPr>
        <w:t xml:space="preserve">es circuits scolaires et communautaires </w:t>
      </w:r>
      <w:r w:rsidR="00367BC4">
        <w:rPr>
          <w:lang w:val="fr-FR"/>
        </w:rPr>
        <w:t>est effectuée</w:t>
      </w:r>
      <w:r w:rsidRPr="00E740A4">
        <w:rPr>
          <w:lang w:val="fr-FR"/>
        </w:rPr>
        <w:t xml:space="preserve"> dans le même endroit, ne quantifier qu</w:t>
      </w:r>
      <w:r w:rsidR="000B498D">
        <w:rPr>
          <w:lang w:val="fr-FR"/>
        </w:rPr>
        <w:t>’</w:t>
      </w:r>
      <w:r w:rsidRPr="00E740A4">
        <w:rPr>
          <w:lang w:val="fr-FR"/>
        </w:rPr>
        <w:t>une seule fois, c</w:t>
      </w:r>
      <w:r w:rsidR="000B498D">
        <w:rPr>
          <w:lang w:val="fr-FR"/>
        </w:rPr>
        <w:t>’</w:t>
      </w:r>
      <w:r w:rsidRPr="00E740A4">
        <w:rPr>
          <w:lang w:val="fr-FR"/>
        </w:rPr>
        <w:t>est-à-dire multiplier la population par 22 % et diviser les moustiquaires entre les circuits.</w:t>
      </w:r>
    </w:p>
    <w:p w14:paraId="2554018A" w14:textId="77777777" w:rsidR="00411942" w:rsidRPr="00E740A4" w:rsidRDefault="00411942">
      <w:pPr>
        <w:pStyle w:val="ListParagraph"/>
        <w:spacing w:before="120"/>
        <w:jc w:val="both"/>
        <w:rPr>
          <w:rFonts w:ascii="Arial" w:hAnsi="Arial" w:cs="Arial"/>
          <w:sz w:val="20"/>
          <w:szCs w:val="20"/>
          <w:lang w:val="fr-FR"/>
        </w:rPr>
      </w:pPr>
    </w:p>
    <w:p w14:paraId="4794DB88" w14:textId="1BCEE710" w:rsidR="00411942" w:rsidRPr="00E740A4" w:rsidRDefault="004A6B92">
      <w:pPr>
        <w:pStyle w:val="P68B1DB1-ListParagraph4"/>
        <w:spacing w:before="120"/>
        <w:jc w:val="both"/>
        <w:rPr>
          <w:szCs w:val="20"/>
          <w:lang w:val="fr-FR"/>
        </w:rPr>
      </w:pPr>
      <w:r w:rsidRPr="00E740A4">
        <w:rPr>
          <w:lang w:val="fr-FR"/>
        </w:rPr>
        <w:t>Remarque : Veille</w:t>
      </w:r>
      <w:r w:rsidR="001146EF">
        <w:rPr>
          <w:lang w:val="fr-FR"/>
        </w:rPr>
        <w:t>r</w:t>
      </w:r>
      <w:r w:rsidRPr="00E740A4">
        <w:rPr>
          <w:lang w:val="fr-FR"/>
        </w:rPr>
        <w:t xml:space="preserve"> à ce que toutes les hypothèses portant sur le milieu communautaire so</w:t>
      </w:r>
      <w:r w:rsidR="009F1FA4">
        <w:rPr>
          <w:lang w:val="fr-FR"/>
        </w:rPr>
        <w:t>ie</w:t>
      </w:r>
      <w:r w:rsidRPr="00E740A4">
        <w:rPr>
          <w:lang w:val="fr-FR"/>
        </w:rPr>
        <w:t>nt bien décrites dans la section des hypothèses du tableau d</w:t>
      </w:r>
      <w:r w:rsidR="000B498D">
        <w:rPr>
          <w:lang w:val="fr-FR"/>
        </w:rPr>
        <w:t>’</w:t>
      </w:r>
      <w:r w:rsidRPr="00E740A4">
        <w:rPr>
          <w:lang w:val="fr-FR"/>
        </w:rPr>
        <w:t xml:space="preserve">analyse des </w:t>
      </w:r>
      <w:r w:rsidR="00155395">
        <w:rPr>
          <w:lang w:val="fr-FR"/>
        </w:rPr>
        <w:t>déficit</w:t>
      </w:r>
      <w:r w:rsidRPr="00E740A4">
        <w:rPr>
          <w:lang w:val="fr-FR"/>
        </w:rPr>
        <w:t>s, y compris les personnes qui assureront la distribution, la fréquence de celle-ci et le type de MII.</w:t>
      </w:r>
    </w:p>
    <w:p w14:paraId="7B7094A0" w14:textId="77777777" w:rsidR="00411942" w:rsidRPr="00E740A4" w:rsidRDefault="00411942">
      <w:pPr>
        <w:pStyle w:val="ListParagraph"/>
        <w:spacing w:before="120"/>
        <w:jc w:val="both"/>
        <w:rPr>
          <w:rFonts w:ascii="Arial" w:hAnsi="Arial" w:cs="Arial"/>
          <w:sz w:val="20"/>
          <w:szCs w:val="20"/>
          <w:lang w:val="fr-FR"/>
        </w:rPr>
      </w:pPr>
    </w:p>
    <w:p w14:paraId="5C3A11BB" w14:textId="4C523382" w:rsidR="00411942" w:rsidRPr="00E740A4" w:rsidRDefault="004A6B92">
      <w:pPr>
        <w:pStyle w:val="P68B1DB1-ListParagraph4"/>
        <w:numPr>
          <w:ilvl w:val="0"/>
          <w:numId w:val="16"/>
        </w:numPr>
        <w:spacing w:before="120"/>
        <w:jc w:val="both"/>
        <w:rPr>
          <w:rFonts w:eastAsiaTheme="minorHAnsi"/>
          <w:lang w:val="fr-FR"/>
        </w:rPr>
      </w:pPr>
      <w:r w:rsidRPr="00E740A4">
        <w:rPr>
          <w:lang w:val="fr-FR"/>
        </w:rPr>
        <w:t>Si des circuits spécifiques pour le ciblage des personnes déplacées et des réfugiés</w:t>
      </w:r>
      <w:r w:rsidR="00155395">
        <w:rPr>
          <w:lang w:val="fr-FR"/>
        </w:rPr>
        <w:t xml:space="preserve"> sont proposés</w:t>
      </w:r>
      <w:r w:rsidRPr="00E740A4">
        <w:rPr>
          <w:lang w:val="fr-FR"/>
        </w:rPr>
        <w:t>, ceux-ci doivent également être inclus et quantifiés dans l</w:t>
      </w:r>
      <w:r w:rsidR="000B498D">
        <w:rPr>
          <w:lang w:val="fr-FR"/>
        </w:rPr>
        <w:t>’</w:t>
      </w:r>
      <w:r w:rsidRPr="00E740A4">
        <w:rPr>
          <w:lang w:val="fr-FR"/>
        </w:rPr>
        <w:t xml:space="preserve">analyse des </w:t>
      </w:r>
      <w:r w:rsidR="00FD693C">
        <w:rPr>
          <w:lang w:val="fr-FR"/>
        </w:rPr>
        <w:t>écart</w:t>
      </w:r>
      <w:r w:rsidRPr="00E740A4">
        <w:rPr>
          <w:lang w:val="fr-FR"/>
        </w:rPr>
        <w:t>s, le CRSPC étant en mesure de fournir des conseils si nécessaire.</w:t>
      </w:r>
    </w:p>
    <w:p w14:paraId="4170E4D6" w14:textId="6B0210D4" w:rsidR="00411942" w:rsidRPr="00E740A4" w:rsidRDefault="004A6B92">
      <w:pPr>
        <w:pStyle w:val="P68B1DB1-ListParagraph4"/>
        <w:numPr>
          <w:ilvl w:val="0"/>
          <w:numId w:val="12"/>
        </w:numPr>
        <w:spacing w:before="120"/>
        <w:jc w:val="both"/>
        <w:rPr>
          <w:szCs w:val="20"/>
          <w:lang w:val="fr-FR"/>
        </w:rPr>
      </w:pPr>
      <w:r w:rsidRPr="00E740A4">
        <w:rPr>
          <w:lang w:val="fr-FR"/>
        </w:rPr>
        <w:t xml:space="preserve">Pour calculer le nombre de moustiquaires à distribuer dans le cadre des consultations prénatales, le nombre de personnes habitant dans les zones impaludées </w:t>
      </w:r>
      <w:r w:rsidR="00A540CB">
        <w:rPr>
          <w:lang w:val="fr-FR"/>
        </w:rPr>
        <w:t xml:space="preserve">devra être multiplié </w:t>
      </w:r>
      <w:r w:rsidRPr="00E740A4">
        <w:rPr>
          <w:lang w:val="fr-FR"/>
        </w:rPr>
        <w:t>par le pourcentage de femmes enceintes dans la population (généralement autour de 4–5 %). Pren</w:t>
      </w:r>
      <w:r w:rsidR="002F62E0">
        <w:rPr>
          <w:lang w:val="fr-FR"/>
        </w:rPr>
        <w:t>dre</w:t>
      </w:r>
      <w:r w:rsidRPr="00E740A4">
        <w:rPr>
          <w:lang w:val="fr-FR"/>
        </w:rPr>
        <w:t xml:space="preserve"> en compte la couverture en soins prénatals en cours, avec des augmentations au fil du temps en fonction des améliorations prévues en matière d</w:t>
      </w:r>
      <w:r w:rsidR="000B498D">
        <w:rPr>
          <w:lang w:val="fr-FR"/>
        </w:rPr>
        <w:t>’</w:t>
      </w:r>
      <w:r w:rsidRPr="00E740A4">
        <w:rPr>
          <w:lang w:val="fr-FR"/>
        </w:rPr>
        <w:t>accès aux soins, ainsi que des augmentations de la population.</w:t>
      </w:r>
    </w:p>
    <w:p w14:paraId="519061C0" w14:textId="18CEE50F" w:rsidR="00411942" w:rsidRPr="00E740A4" w:rsidRDefault="004A6B92">
      <w:pPr>
        <w:pStyle w:val="P68B1DB1-ListParagraph4"/>
        <w:numPr>
          <w:ilvl w:val="0"/>
          <w:numId w:val="12"/>
        </w:numPr>
        <w:spacing w:before="120"/>
        <w:jc w:val="both"/>
        <w:rPr>
          <w:szCs w:val="20"/>
          <w:lang w:val="fr-FR"/>
        </w:rPr>
      </w:pPr>
      <w:r w:rsidRPr="00E740A4">
        <w:rPr>
          <w:lang w:val="fr-FR"/>
        </w:rPr>
        <w:t xml:space="preserve">Pour calculer le nombre de moustiquaires à distribuer dans le cadre du programme élargi de vaccination (PEV), le nombre de personnes habitant dans les zones impaludées </w:t>
      </w:r>
      <w:r w:rsidR="002F62E0">
        <w:rPr>
          <w:lang w:val="fr-FR"/>
        </w:rPr>
        <w:t xml:space="preserve">devra être multiplié </w:t>
      </w:r>
      <w:r w:rsidRPr="00E740A4">
        <w:rPr>
          <w:lang w:val="fr-FR"/>
        </w:rPr>
        <w:t>par le pourcentage d’enfants de moins d’un an (généralement autour de 4 %). Ten</w:t>
      </w:r>
      <w:r w:rsidR="002F62E0">
        <w:rPr>
          <w:lang w:val="fr-FR"/>
        </w:rPr>
        <w:t>ir</w:t>
      </w:r>
      <w:r w:rsidRPr="00E740A4">
        <w:rPr>
          <w:lang w:val="fr-FR"/>
        </w:rPr>
        <w:t xml:space="preserve"> compte de la couverture du PEV</w:t>
      </w:r>
      <w:r w:rsidR="005F5322">
        <w:rPr>
          <w:lang w:val="fr-FR"/>
        </w:rPr>
        <w:t xml:space="preserve"> en cours</w:t>
      </w:r>
      <w:r w:rsidRPr="00E740A4">
        <w:rPr>
          <w:lang w:val="fr-FR"/>
        </w:rPr>
        <w:t xml:space="preserve">, qui devrait augmenter avec le temps en fonction des améliorations prévues de l’accès aux soins et des augmentations de la population. Si les enfants de moins de cinq ans </w:t>
      </w:r>
      <w:r w:rsidR="005F5322">
        <w:rPr>
          <w:lang w:val="fr-FR"/>
        </w:rPr>
        <w:t xml:space="preserve">sont ciblés </w:t>
      </w:r>
      <w:r w:rsidRPr="00E740A4">
        <w:rPr>
          <w:lang w:val="fr-FR"/>
        </w:rPr>
        <w:t>par le biais des cliniques de santé plutôt que les enfants de moins d</w:t>
      </w:r>
      <w:r w:rsidR="000B498D">
        <w:rPr>
          <w:lang w:val="fr-FR"/>
        </w:rPr>
        <w:t>’</w:t>
      </w:r>
      <w:r w:rsidRPr="00E740A4">
        <w:rPr>
          <w:lang w:val="fr-FR"/>
        </w:rPr>
        <w:t>un an par le biais du PEV, apporte</w:t>
      </w:r>
      <w:r w:rsidR="00AF2853">
        <w:rPr>
          <w:lang w:val="fr-FR"/>
        </w:rPr>
        <w:t>r</w:t>
      </w:r>
      <w:r w:rsidRPr="00E740A4">
        <w:rPr>
          <w:lang w:val="fr-FR"/>
        </w:rPr>
        <w:t xml:space="preserve"> des modifications comme il convient.</w:t>
      </w:r>
    </w:p>
    <w:p w14:paraId="23B9B188" w14:textId="407C79B0" w:rsidR="00411942" w:rsidRPr="00E740A4" w:rsidRDefault="004A6B92">
      <w:pPr>
        <w:pStyle w:val="P68B1DB1-ListParagraph4"/>
        <w:numPr>
          <w:ilvl w:val="0"/>
          <w:numId w:val="12"/>
        </w:numPr>
        <w:spacing w:before="120"/>
        <w:jc w:val="both"/>
        <w:rPr>
          <w:lang w:val="fr-FR"/>
        </w:rPr>
      </w:pPr>
      <w:r w:rsidRPr="00E740A4">
        <w:rPr>
          <w:lang w:val="fr-FR"/>
        </w:rPr>
        <w:t>L</w:t>
      </w:r>
      <w:r w:rsidR="000B498D">
        <w:rPr>
          <w:lang w:val="fr-FR"/>
        </w:rPr>
        <w:t>’</w:t>
      </w:r>
      <w:r w:rsidRPr="00E740A4">
        <w:rPr>
          <w:lang w:val="fr-FR"/>
        </w:rPr>
        <w:t>ajout des MII dont on a besoin pour le PEV et les soins prénatals et, le cas échéant, pour la distribution en milieu scolaire, pour la distribution communautaire ou les circuits à utiliser pour atteindre les personnes déplacées, les réfugiés, etc. donne le nombre total de moustiquaires prévues pour la distribution par le biais de systèmes de distribution continue.</w:t>
      </w:r>
    </w:p>
    <w:p w14:paraId="1121CD34" w14:textId="77777777" w:rsidR="00411942" w:rsidRPr="00E740A4" w:rsidRDefault="00411942">
      <w:pPr>
        <w:pStyle w:val="ListParagraph"/>
        <w:spacing w:before="120"/>
        <w:jc w:val="both"/>
        <w:rPr>
          <w:rFonts w:ascii="Arial" w:hAnsi="Arial" w:cs="Arial"/>
          <w:sz w:val="20"/>
          <w:szCs w:val="20"/>
          <w:lang w:val="fr-FR"/>
        </w:rPr>
      </w:pPr>
    </w:p>
    <w:p w14:paraId="0BD715BD" w14:textId="63BC9676" w:rsidR="00411942" w:rsidRPr="00E740A4" w:rsidRDefault="004A6B92">
      <w:pPr>
        <w:pStyle w:val="P68B1DB1-ListParagraph4"/>
        <w:numPr>
          <w:ilvl w:val="0"/>
          <w:numId w:val="4"/>
        </w:numPr>
        <w:spacing w:before="120"/>
        <w:jc w:val="both"/>
        <w:rPr>
          <w:szCs w:val="20"/>
          <w:lang w:val="fr-FR"/>
        </w:rPr>
      </w:pPr>
      <w:r w:rsidRPr="00E740A4">
        <w:rPr>
          <w:lang w:val="fr-FR"/>
        </w:rPr>
        <w:t>Nombre total de moustiquaires dont on a besoin. Le nombre total de MII à distribuer est calculé en ajoutant les moustiquaires pour les campagnes (généralement une fois tous les trois ans, à moins que le pays n</w:t>
      </w:r>
      <w:r w:rsidR="000B498D">
        <w:rPr>
          <w:lang w:val="fr-FR"/>
        </w:rPr>
        <w:t>’</w:t>
      </w:r>
      <w:r w:rsidRPr="00E740A4">
        <w:rPr>
          <w:lang w:val="fr-FR"/>
        </w:rPr>
        <w:t>ait adopté un programme de campagnes permanentes) et les moustiquaires distribuées de façon continue pendant le nombre d</w:t>
      </w:r>
      <w:r w:rsidR="000B498D">
        <w:rPr>
          <w:lang w:val="fr-FR"/>
        </w:rPr>
        <w:t>’</w:t>
      </w:r>
      <w:r w:rsidRPr="00E740A4">
        <w:rPr>
          <w:lang w:val="fr-FR"/>
        </w:rPr>
        <w:t>années prévu.</w:t>
      </w:r>
    </w:p>
    <w:p w14:paraId="4DD11CE5" w14:textId="7AD85D8A" w:rsidR="00411942" w:rsidRPr="00E740A4" w:rsidRDefault="004A6B92">
      <w:pPr>
        <w:pStyle w:val="P68B1DB1-ListParagraph4"/>
        <w:numPr>
          <w:ilvl w:val="0"/>
          <w:numId w:val="4"/>
        </w:numPr>
        <w:spacing w:before="120"/>
        <w:jc w:val="both"/>
        <w:rPr>
          <w:szCs w:val="20"/>
          <w:lang w:val="fr-FR"/>
        </w:rPr>
      </w:pPr>
      <w:r w:rsidRPr="00E740A4">
        <w:rPr>
          <w:lang w:val="fr-FR"/>
        </w:rPr>
        <w:t>Calcule</w:t>
      </w:r>
      <w:r w:rsidR="00B93C70">
        <w:rPr>
          <w:lang w:val="fr-FR"/>
        </w:rPr>
        <w:t>r</w:t>
      </w:r>
      <w:r w:rsidRPr="00E740A4">
        <w:rPr>
          <w:lang w:val="fr-FR"/>
        </w:rPr>
        <w:t xml:space="preserve"> le nombre de moustiquaires ayant déjà fait l</w:t>
      </w:r>
      <w:r w:rsidR="000B498D">
        <w:rPr>
          <w:lang w:val="fr-FR"/>
        </w:rPr>
        <w:t>’</w:t>
      </w:r>
      <w:r w:rsidRPr="00E740A4">
        <w:rPr>
          <w:lang w:val="fr-FR"/>
        </w:rPr>
        <w:t>objet d</w:t>
      </w:r>
      <w:r w:rsidR="000B498D">
        <w:rPr>
          <w:lang w:val="fr-FR"/>
        </w:rPr>
        <w:t>’</w:t>
      </w:r>
      <w:r w:rsidRPr="00E740A4">
        <w:rPr>
          <w:lang w:val="fr-FR"/>
        </w:rPr>
        <w:t xml:space="preserve">un financement. Les besoins en moustiquaires à distribuer prévus dans le cadre d’autres programmes (ressources nationales, partenaires autres que le Fonds mondial) sont ajoutés pour établir ce qui est financé </w:t>
      </w:r>
      <w:r w:rsidR="00297A8D">
        <w:rPr>
          <w:lang w:val="fr-FR"/>
        </w:rPr>
        <w:t xml:space="preserve">à un moment donné </w:t>
      </w:r>
      <w:r w:rsidRPr="00E740A4">
        <w:rPr>
          <w:lang w:val="fr-FR"/>
        </w:rPr>
        <w:t>ou ce qui devrait l’être.</w:t>
      </w:r>
    </w:p>
    <w:p w14:paraId="3E132550" w14:textId="77777777" w:rsidR="00411942" w:rsidRPr="00E740A4" w:rsidRDefault="004A6B92">
      <w:pPr>
        <w:pStyle w:val="P68B1DB1-ListParagraph4"/>
        <w:numPr>
          <w:ilvl w:val="0"/>
          <w:numId w:val="4"/>
        </w:numPr>
        <w:spacing w:before="120"/>
        <w:jc w:val="both"/>
        <w:rPr>
          <w:szCs w:val="20"/>
          <w:lang w:val="fr-FR"/>
        </w:rPr>
      </w:pPr>
      <w:r w:rsidRPr="00E740A4">
        <w:rPr>
          <w:lang w:val="fr-FR"/>
        </w:rPr>
        <w:t>Les écarts annuels attendus dans la réalisation des objectifs sont calculés à partir de la différence entre le nombre de moustiquaires requises et le nombre de moustiquaires financées.</w:t>
      </w:r>
    </w:p>
    <w:p w14:paraId="7B478AEF" w14:textId="755FDB21" w:rsidR="00411942" w:rsidRPr="00E740A4" w:rsidRDefault="004A6B92">
      <w:pPr>
        <w:pStyle w:val="P68B1DB1-ListParagraph4"/>
        <w:numPr>
          <w:ilvl w:val="0"/>
          <w:numId w:val="4"/>
        </w:numPr>
        <w:spacing w:before="120"/>
        <w:jc w:val="both"/>
        <w:rPr>
          <w:szCs w:val="20"/>
          <w:lang w:val="fr-FR"/>
        </w:rPr>
      </w:pPr>
      <w:r w:rsidRPr="00E740A4">
        <w:rPr>
          <w:lang w:val="fr-FR"/>
        </w:rPr>
        <w:t>Insére</w:t>
      </w:r>
      <w:r w:rsidR="00297A8D">
        <w:rPr>
          <w:lang w:val="fr-FR"/>
        </w:rPr>
        <w:t>r</w:t>
      </w:r>
      <w:r w:rsidRPr="00E740A4">
        <w:rPr>
          <w:lang w:val="fr-FR"/>
        </w:rPr>
        <w:t xml:space="preserve"> le nombre de moustiquaires à financer par le biais de la subvention du Fonds mondial.</w:t>
      </w:r>
    </w:p>
    <w:p w14:paraId="6A4E5574" w14:textId="7A0E24B9" w:rsidR="00411942" w:rsidRPr="00E740A4" w:rsidRDefault="004A6B92">
      <w:pPr>
        <w:pStyle w:val="P68B1DB1-ListParagraph4"/>
        <w:numPr>
          <w:ilvl w:val="0"/>
          <w:numId w:val="4"/>
        </w:numPr>
        <w:spacing w:before="120"/>
        <w:jc w:val="both"/>
        <w:rPr>
          <w:szCs w:val="20"/>
          <w:lang w:val="fr-FR"/>
        </w:rPr>
      </w:pPr>
      <w:r w:rsidRPr="00E740A4">
        <w:rPr>
          <w:lang w:val="fr-FR"/>
        </w:rPr>
        <w:t>Pour le Fonds mondial, pense</w:t>
      </w:r>
      <w:r w:rsidR="00297A8D">
        <w:rPr>
          <w:lang w:val="fr-FR"/>
        </w:rPr>
        <w:t>r</w:t>
      </w:r>
      <w:r w:rsidRPr="00E740A4">
        <w:rPr>
          <w:lang w:val="fr-FR"/>
        </w:rPr>
        <w:t xml:space="preserve"> à inclure les </w:t>
      </w:r>
      <w:r w:rsidR="008B37BF">
        <w:rPr>
          <w:lang w:val="fr-FR"/>
        </w:rPr>
        <w:t>écart</w:t>
      </w:r>
      <w:r w:rsidRPr="00E740A4">
        <w:rPr>
          <w:lang w:val="fr-FR"/>
        </w:rPr>
        <w:t>s dans le nombre des MII dans la demande</w:t>
      </w:r>
      <w:r w:rsidR="0070093B" w:rsidRPr="0070093B">
        <w:rPr>
          <w:lang w:val="fr-FR"/>
        </w:rPr>
        <w:t xml:space="preserve"> hiérarchisée de financement au-delà de la somme allouée (PAAR)</w:t>
      </w:r>
      <w:r w:rsidRPr="00E740A4">
        <w:rPr>
          <w:lang w:val="fr-FR"/>
        </w:rPr>
        <w:t>. Fai</w:t>
      </w:r>
      <w:r w:rsidR="00666211">
        <w:rPr>
          <w:lang w:val="fr-FR"/>
        </w:rPr>
        <w:t>r</w:t>
      </w:r>
      <w:r w:rsidRPr="00E740A4">
        <w:rPr>
          <w:lang w:val="fr-FR"/>
        </w:rPr>
        <w:t>e également ressortir les manques en MII aux autres donateurs.</w:t>
      </w:r>
    </w:p>
    <w:p w14:paraId="0B3C6383" w14:textId="0D07FAD6" w:rsidR="00411942" w:rsidRPr="00E740A4" w:rsidRDefault="004A6B92">
      <w:pPr>
        <w:pStyle w:val="P68B1DB1-ListParagraph4"/>
        <w:numPr>
          <w:ilvl w:val="0"/>
          <w:numId w:val="4"/>
        </w:numPr>
        <w:spacing w:before="120"/>
        <w:jc w:val="both"/>
        <w:rPr>
          <w:szCs w:val="20"/>
          <w:lang w:val="fr-FR"/>
        </w:rPr>
      </w:pPr>
      <w:r w:rsidRPr="00E740A4">
        <w:rPr>
          <w:lang w:val="fr-FR"/>
        </w:rPr>
        <w:t>Calcule</w:t>
      </w:r>
      <w:r w:rsidR="00666211">
        <w:rPr>
          <w:lang w:val="fr-FR"/>
        </w:rPr>
        <w:t>r</w:t>
      </w:r>
      <w:r w:rsidRPr="00E740A4">
        <w:rPr>
          <w:lang w:val="fr-FR"/>
        </w:rPr>
        <w:t xml:space="preserve"> le nombre total de moustiquaires financées.</w:t>
      </w:r>
    </w:p>
    <w:p w14:paraId="6969C6A9" w14:textId="2245FC61" w:rsidR="00411942" w:rsidRPr="00E740A4" w:rsidRDefault="004A6B92">
      <w:pPr>
        <w:pStyle w:val="P68B1DB1-ListParagraph4"/>
        <w:numPr>
          <w:ilvl w:val="0"/>
          <w:numId w:val="4"/>
        </w:numPr>
        <w:spacing w:before="120"/>
        <w:jc w:val="both"/>
        <w:rPr>
          <w:szCs w:val="20"/>
          <w:lang w:val="fr-FR"/>
        </w:rPr>
      </w:pPr>
      <w:r w:rsidRPr="00E740A4">
        <w:rPr>
          <w:lang w:val="fr-FR"/>
        </w:rPr>
        <w:t>Fai</w:t>
      </w:r>
      <w:r w:rsidR="00666211">
        <w:rPr>
          <w:lang w:val="fr-FR"/>
        </w:rPr>
        <w:t>r</w:t>
      </w:r>
      <w:r w:rsidRPr="00E740A4">
        <w:rPr>
          <w:lang w:val="fr-FR"/>
        </w:rPr>
        <w:t xml:space="preserve">e ressortir les </w:t>
      </w:r>
      <w:r w:rsidR="00885AEA">
        <w:rPr>
          <w:lang w:val="fr-FR"/>
        </w:rPr>
        <w:t>écart</w:t>
      </w:r>
      <w:r w:rsidRPr="00E740A4">
        <w:rPr>
          <w:lang w:val="fr-FR"/>
        </w:rPr>
        <w:t>s existants.</w:t>
      </w:r>
    </w:p>
    <w:p w14:paraId="2B03ECD7" w14:textId="4D4713A6" w:rsidR="00411942" w:rsidRPr="00E740A4" w:rsidRDefault="00411942">
      <w:pPr>
        <w:pStyle w:val="ListParagraph"/>
        <w:spacing w:before="120"/>
        <w:ind w:left="360"/>
        <w:jc w:val="both"/>
        <w:rPr>
          <w:rFonts w:ascii="Arial" w:hAnsi="Arial" w:cs="Arial"/>
          <w:sz w:val="20"/>
          <w:szCs w:val="20"/>
          <w:lang w:val="fr-FR"/>
        </w:rPr>
      </w:pPr>
    </w:p>
    <w:p w14:paraId="3AC99F1F" w14:textId="7C4E20E7" w:rsidR="00411942" w:rsidRPr="00E740A4" w:rsidRDefault="004A6B92">
      <w:pPr>
        <w:pStyle w:val="P68B1DB1-ListParagraph8"/>
        <w:spacing w:before="120"/>
        <w:ind w:left="0"/>
        <w:jc w:val="both"/>
        <w:rPr>
          <w:bCs/>
          <w:szCs w:val="20"/>
          <w:lang w:val="fr-FR"/>
        </w:rPr>
      </w:pPr>
      <w:r w:rsidRPr="00E740A4">
        <w:rPr>
          <w:lang w:val="fr-FR"/>
        </w:rPr>
        <w:t>Types de MII</w:t>
      </w:r>
    </w:p>
    <w:p w14:paraId="35738BDC" w14:textId="68C098A1" w:rsidR="00411942" w:rsidRPr="00E740A4" w:rsidRDefault="004A6B92">
      <w:pPr>
        <w:pStyle w:val="P68B1DB1-ListParagraph4"/>
        <w:spacing w:before="120"/>
        <w:ind w:left="0"/>
        <w:jc w:val="both"/>
        <w:rPr>
          <w:szCs w:val="20"/>
          <w:lang w:val="fr-FR"/>
        </w:rPr>
      </w:pPr>
      <w:r w:rsidRPr="00666211">
        <w:rPr>
          <w:b/>
          <w:bCs/>
          <w:lang w:val="fr-FR"/>
        </w:rPr>
        <w:t xml:space="preserve">Moustiquaires </w:t>
      </w:r>
      <w:r w:rsidRPr="00E740A4">
        <w:rPr>
          <w:b/>
          <w:lang w:val="fr-FR"/>
        </w:rPr>
        <w:t>imprégnées d’insecticide</w:t>
      </w:r>
      <w:r w:rsidRPr="00E740A4">
        <w:rPr>
          <w:lang w:val="fr-FR"/>
        </w:rPr>
        <w:t xml:space="preserve"> (MII) </w:t>
      </w:r>
      <w:r w:rsidRPr="00EE6065">
        <w:rPr>
          <w:b/>
          <w:bCs/>
          <w:lang w:val="fr-FR"/>
        </w:rPr>
        <w:t xml:space="preserve">combinant des pyréthroïdes et du </w:t>
      </w:r>
      <w:proofErr w:type="spellStart"/>
      <w:r w:rsidRPr="00EE6065">
        <w:rPr>
          <w:b/>
          <w:bCs/>
          <w:lang w:val="fr-FR"/>
        </w:rPr>
        <w:t>butoxyde</w:t>
      </w:r>
      <w:proofErr w:type="spellEnd"/>
      <w:r w:rsidRPr="00EE6065">
        <w:rPr>
          <w:b/>
          <w:bCs/>
          <w:lang w:val="fr-FR"/>
        </w:rPr>
        <w:t xml:space="preserve"> </w:t>
      </w:r>
      <w:proofErr w:type="spellStart"/>
      <w:r w:rsidRPr="00EE6065">
        <w:rPr>
          <w:b/>
          <w:bCs/>
          <w:lang w:val="fr-FR"/>
        </w:rPr>
        <w:t>pipéronyle</w:t>
      </w:r>
      <w:proofErr w:type="spellEnd"/>
      <w:r w:rsidRPr="00E740A4">
        <w:rPr>
          <w:lang w:val="fr-FR"/>
        </w:rPr>
        <w:t xml:space="preserve"> (PBO) (moustiquaires imprégnées d’insecticide à base de pyréthroïdes-PBO) : en prenant le nombre total de MII en compte, insére</w:t>
      </w:r>
      <w:r w:rsidR="00EE6065">
        <w:rPr>
          <w:lang w:val="fr-FR"/>
        </w:rPr>
        <w:t>r</w:t>
      </w:r>
      <w:r w:rsidRPr="00E740A4">
        <w:rPr>
          <w:lang w:val="fr-FR"/>
        </w:rPr>
        <w:t xml:space="preserve"> le nombre de moustiquaires à base de PBO requis en fonction des données de résistance et de l</w:t>
      </w:r>
      <w:r w:rsidR="000B498D">
        <w:rPr>
          <w:lang w:val="fr-FR"/>
        </w:rPr>
        <w:t>’</w:t>
      </w:r>
      <w:r w:rsidRPr="00E740A4">
        <w:rPr>
          <w:lang w:val="fr-FR"/>
        </w:rPr>
        <w:t>adaptation infranationale. Note</w:t>
      </w:r>
      <w:r w:rsidR="00EE6065">
        <w:rPr>
          <w:lang w:val="fr-FR"/>
        </w:rPr>
        <w:t>r</w:t>
      </w:r>
      <w:r w:rsidRPr="00E740A4">
        <w:rPr>
          <w:lang w:val="fr-FR"/>
        </w:rPr>
        <w:t xml:space="preserve"> le nombre de moustiquaires à base de PBO déjà financées et fai</w:t>
      </w:r>
      <w:r w:rsidR="00EE6065">
        <w:rPr>
          <w:lang w:val="fr-FR"/>
        </w:rPr>
        <w:t>r</w:t>
      </w:r>
      <w:r w:rsidRPr="00E740A4">
        <w:rPr>
          <w:lang w:val="fr-FR"/>
        </w:rPr>
        <w:t>e ressortir le nombre de MII à financer par le biais de l</w:t>
      </w:r>
      <w:r w:rsidR="000B498D">
        <w:rPr>
          <w:lang w:val="fr-FR"/>
        </w:rPr>
        <w:t>’</w:t>
      </w:r>
      <w:r w:rsidRPr="00E740A4">
        <w:rPr>
          <w:lang w:val="fr-FR"/>
        </w:rPr>
        <w:t>allocation du Fonds mondial.</w:t>
      </w:r>
    </w:p>
    <w:p w14:paraId="68A2EF5E" w14:textId="77777777" w:rsidR="00411942" w:rsidRPr="00E740A4" w:rsidRDefault="00411942">
      <w:pPr>
        <w:pStyle w:val="ListParagraph"/>
        <w:spacing w:before="120"/>
        <w:ind w:left="0"/>
        <w:jc w:val="both"/>
        <w:rPr>
          <w:rFonts w:ascii="Arial" w:hAnsi="Arial" w:cs="Arial"/>
          <w:sz w:val="20"/>
          <w:szCs w:val="20"/>
          <w:lang w:val="fr-FR"/>
        </w:rPr>
      </w:pPr>
    </w:p>
    <w:p w14:paraId="6AD9ACF4" w14:textId="06948C22" w:rsidR="00411942" w:rsidRPr="00E740A4" w:rsidRDefault="004A6B92">
      <w:pPr>
        <w:pStyle w:val="P68B1DB1-ListParagraph4"/>
        <w:spacing w:before="120"/>
        <w:ind w:left="0"/>
        <w:jc w:val="both"/>
        <w:rPr>
          <w:szCs w:val="20"/>
          <w:lang w:val="fr-FR"/>
        </w:rPr>
      </w:pPr>
      <w:r w:rsidRPr="00E740A4">
        <w:rPr>
          <w:b/>
          <w:lang w:val="fr-FR"/>
        </w:rPr>
        <w:t>MII à double principe actif</w:t>
      </w:r>
      <w:r w:rsidRPr="00E740A4">
        <w:rPr>
          <w:lang w:val="fr-FR"/>
        </w:rPr>
        <w:t> : à partir du nombre total de MII, insére</w:t>
      </w:r>
      <w:r w:rsidR="00CC47D2">
        <w:rPr>
          <w:lang w:val="fr-FR"/>
        </w:rPr>
        <w:t>r</w:t>
      </w:r>
      <w:r w:rsidRPr="00E740A4">
        <w:rPr>
          <w:lang w:val="fr-FR"/>
        </w:rPr>
        <w:t xml:space="preserve"> le nombre de MII à double principe actif requis en fonction des données de résistance et des adaptations infranationales. Note</w:t>
      </w:r>
      <w:r w:rsidR="00CC47D2">
        <w:rPr>
          <w:lang w:val="fr-FR"/>
        </w:rPr>
        <w:t>r</w:t>
      </w:r>
      <w:r w:rsidRPr="00E740A4">
        <w:rPr>
          <w:lang w:val="fr-FR"/>
        </w:rPr>
        <w:t xml:space="preserve"> le nombre de moustiquaires à double principe actif déjà financées et fai</w:t>
      </w:r>
      <w:r w:rsidR="00CC47D2">
        <w:rPr>
          <w:lang w:val="fr-FR"/>
        </w:rPr>
        <w:t>r</w:t>
      </w:r>
      <w:r w:rsidRPr="00E740A4">
        <w:rPr>
          <w:lang w:val="fr-FR"/>
        </w:rPr>
        <w:t>e ressortir le nombre de MII à double principe actif à faire financer par le biais de l</w:t>
      </w:r>
      <w:r w:rsidR="000B498D">
        <w:rPr>
          <w:lang w:val="fr-FR"/>
        </w:rPr>
        <w:t>’</w:t>
      </w:r>
      <w:r w:rsidRPr="00E740A4">
        <w:rPr>
          <w:lang w:val="fr-FR"/>
        </w:rPr>
        <w:t>allocation du Fonds mondial.</w:t>
      </w:r>
    </w:p>
    <w:p w14:paraId="55F706C1" w14:textId="77777777" w:rsidR="00411942" w:rsidRPr="00E740A4" w:rsidRDefault="00411942">
      <w:pPr>
        <w:pStyle w:val="ListParagraph"/>
        <w:spacing w:before="120"/>
        <w:ind w:left="0"/>
        <w:jc w:val="both"/>
        <w:rPr>
          <w:rFonts w:ascii="Arial" w:hAnsi="Arial" w:cs="Arial"/>
          <w:sz w:val="20"/>
          <w:szCs w:val="20"/>
          <w:lang w:val="fr-FR"/>
        </w:rPr>
      </w:pPr>
    </w:p>
    <w:p w14:paraId="4D96A550" w14:textId="3FAC529F" w:rsidR="00411942" w:rsidRPr="00E740A4" w:rsidRDefault="004A6B92">
      <w:pPr>
        <w:pStyle w:val="P68B1DB1-ListParagraph4"/>
        <w:spacing w:before="120"/>
        <w:ind w:left="0"/>
        <w:jc w:val="both"/>
        <w:rPr>
          <w:szCs w:val="20"/>
          <w:lang w:val="fr-FR"/>
        </w:rPr>
      </w:pPr>
      <w:r w:rsidRPr="00E740A4">
        <w:rPr>
          <w:lang w:val="fr-FR"/>
        </w:rPr>
        <w:lastRenderedPageBreak/>
        <w:t>Note</w:t>
      </w:r>
      <w:r w:rsidR="00CC47D2">
        <w:rPr>
          <w:lang w:val="fr-FR"/>
        </w:rPr>
        <w:t>r</w:t>
      </w:r>
      <w:r w:rsidRPr="00E740A4">
        <w:rPr>
          <w:lang w:val="fr-FR"/>
        </w:rPr>
        <w:t xml:space="preserve"> tous les </w:t>
      </w:r>
      <w:r w:rsidR="00885AEA">
        <w:rPr>
          <w:lang w:val="fr-FR"/>
        </w:rPr>
        <w:t>écart</w:t>
      </w:r>
      <w:r w:rsidRPr="00E740A4">
        <w:rPr>
          <w:lang w:val="fr-FR"/>
        </w:rPr>
        <w:t>s qui subsistent et envisage</w:t>
      </w:r>
      <w:r w:rsidR="00CC47D2">
        <w:rPr>
          <w:lang w:val="fr-FR"/>
        </w:rPr>
        <w:t>r</w:t>
      </w:r>
      <w:r w:rsidRPr="00E740A4">
        <w:rPr>
          <w:lang w:val="fr-FR"/>
        </w:rPr>
        <w:t xml:space="preserve"> de les inclure dans la </w:t>
      </w:r>
      <w:r w:rsidR="004B3703">
        <w:rPr>
          <w:lang w:val="fr-FR"/>
        </w:rPr>
        <w:t>d</w:t>
      </w:r>
      <w:r w:rsidR="004B3703" w:rsidRPr="004B3703">
        <w:rPr>
          <w:lang w:val="fr-FR"/>
        </w:rPr>
        <w:t>emande hiérarchisée de financement au-delà de la somme allouée (PAAR)</w:t>
      </w:r>
      <w:r w:rsidRPr="00E740A4">
        <w:rPr>
          <w:lang w:val="fr-FR"/>
        </w:rPr>
        <w:t>. Établi</w:t>
      </w:r>
      <w:r w:rsidR="00CC47D2">
        <w:rPr>
          <w:lang w:val="fr-FR"/>
        </w:rPr>
        <w:t>r</w:t>
      </w:r>
      <w:r w:rsidRPr="00E740A4">
        <w:rPr>
          <w:lang w:val="fr-FR"/>
        </w:rPr>
        <w:t xml:space="preserve"> si les </w:t>
      </w:r>
      <w:r w:rsidR="00FE07B0">
        <w:rPr>
          <w:lang w:val="fr-FR"/>
        </w:rPr>
        <w:t>écart</w:t>
      </w:r>
      <w:r w:rsidRPr="00E740A4">
        <w:rPr>
          <w:lang w:val="fr-FR"/>
        </w:rPr>
        <w:t>s tiennent compte de la totalité du coût des MII PBO/</w:t>
      </w:r>
      <w:r w:rsidR="009A5F01">
        <w:rPr>
          <w:lang w:val="fr-FR"/>
        </w:rPr>
        <w:t xml:space="preserve"> à </w:t>
      </w:r>
      <w:r w:rsidRPr="00E740A4">
        <w:rPr>
          <w:lang w:val="fr-FR"/>
        </w:rPr>
        <w:t>double</w:t>
      </w:r>
      <w:r w:rsidR="009A5F01">
        <w:rPr>
          <w:lang w:val="fr-FR"/>
        </w:rPr>
        <w:t xml:space="preserve"> principe actif</w:t>
      </w:r>
      <w:r w:rsidRPr="00E740A4">
        <w:rPr>
          <w:lang w:val="fr-FR"/>
        </w:rPr>
        <w:t xml:space="preserve"> ou de la différence de coût entre ces MII </w:t>
      </w:r>
      <w:r w:rsidR="008E0592">
        <w:rPr>
          <w:lang w:val="fr-FR"/>
        </w:rPr>
        <w:t>et les</w:t>
      </w:r>
      <w:r w:rsidRPr="00E740A4">
        <w:rPr>
          <w:lang w:val="fr-FR"/>
        </w:rPr>
        <w:t xml:space="preserve"> MII à base de pyréthroïdes seulement.</w:t>
      </w:r>
    </w:p>
    <w:p w14:paraId="0904A6FD" w14:textId="54F906B1" w:rsidR="00411942" w:rsidRPr="00E740A4" w:rsidRDefault="004A6B92">
      <w:pPr>
        <w:pStyle w:val="P68B1DB1-Heading23"/>
        <w:spacing w:before="120"/>
        <w:rPr>
          <w:szCs w:val="20"/>
          <w:lang w:val="fr-FR"/>
        </w:rPr>
      </w:pPr>
      <w:r w:rsidRPr="00E740A4">
        <w:rPr>
          <w:lang w:val="fr-FR"/>
        </w:rPr>
        <w:t xml:space="preserve">Analyse des </w:t>
      </w:r>
      <w:r w:rsidR="00FE07B0">
        <w:rPr>
          <w:lang w:val="fr-FR"/>
        </w:rPr>
        <w:t>écart</w:t>
      </w:r>
      <w:r w:rsidRPr="00E740A4">
        <w:rPr>
          <w:lang w:val="fr-FR"/>
        </w:rPr>
        <w:t>s en PID</w:t>
      </w:r>
    </w:p>
    <w:p w14:paraId="03AF776B" w14:textId="25E822E8" w:rsidR="00411942" w:rsidRPr="00E740A4" w:rsidRDefault="004A6B92">
      <w:pPr>
        <w:pStyle w:val="P68B1DB1-Normal2"/>
        <w:jc w:val="both"/>
        <w:rPr>
          <w:szCs w:val="20"/>
          <w:lang w:val="fr-FR"/>
        </w:rPr>
      </w:pPr>
      <w:r w:rsidRPr="00E740A4">
        <w:rPr>
          <w:lang w:val="fr-FR"/>
        </w:rPr>
        <w:t>Détermine</w:t>
      </w:r>
      <w:r w:rsidR="00020FF5">
        <w:rPr>
          <w:lang w:val="fr-FR"/>
        </w:rPr>
        <w:t>r</w:t>
      </w:r>
      <w:r w:rsidRPr="00E740A4">
        <w:rPr>
          <w:lang w:val="fr-FR"/>
        </w:rPr>
        <w:t xml:space="preserve"> l’objectif de la PID dans le cadre des objectifs du programme national de lutte contre le paludisme</w:t>
      </w:r>
    </w:p>
    <w:p w14:paraId="7D84EB6E" w14:textId="7E1B5B98" w:rsidR="00411942" w:rsidRPr="00E740A4" w:rsidRDefault="00020FF5">
      <w:pPr>
        <w:pStyle w:val="P68B1DB1-Default7"/>
        <w:numPr>
          <w:ilvl w:val="0"/>
          <w:numId w:val="9"/>
        </w:numPr>
        <w:ind w:right="43"/>
        <w:jc w:val="both"/>
        <w:rPr>
          <w:bCs/>
          <w:szCs w:val="20"/>
          <w:lang w:val="fr-FR"/>
        </w:rPr>
      </w:pPr>
      <w:r>
        <w:rPr>
          <w:lang w:val="fr-FR"/>
        </w:rPr>
        <w:t>Pour r</w:t>
      </w:r>
      <w:r w:rsidRPr="00E740A4">
        <w:rPr>
          <w:lang w:val="fr-FR"/>
        </w:rPr>
        <w:t>éduire la transmission dans les régions fortement endémiques</w:t>
      </w:r>
    </w:p>
    <w:p w14:paraId="6F48D790" w14:textId="39CDEA62" w:rsidR="00411942" w:rsidRPr="00E740A4" w:rsidRDefault="004A6B92">
      <w:pPr>
        <w:pStyle w:val="P68B1DB1-Default7"/>
        <w:numPr>
          <w:ilvl w:val="0"/>
          <w:numId w:val="9"/>
        </w:numPr>
        <w:ind w:right="43"/>
        <w:jc w:val="both"/>
        <w:rPr>
          <w:bCs/>
          <w:szCs w:val="20"/>
          <w:lang w:val="fr-FR"/>
        </w:rPr>
      </w:pPr>
      <w:r w:rsidRPr="00E740A4">
        <w:rPr>
          <w:lang w:val="fr-FR"/>
        </w:rPr>
        <w:t>P</w:t>
      </w:r>
      <w:r w:rsidR="00020FF5">
        <w:rPr>
          <w:lang w:val="fr-FR"/>
        </w:rPr>
        <w:t>our p</w:t>
      </w:r>
      <w:r w:rsidRPr="00E740A4">
        <w:rPr>
          <w:lang w:val="fr-FR"/>
        </w:rPr>
        <w:t>révenir les épidémies dans les zones de transmission modérée et faible</w:t>
      </w:r>
    </w:p>
    <w:p w14:paraId="5882B236" w14:textId="68A52672" w:rsidR="00411942" w:rsidRPr="00E740A4" w:rsidRDefault="00020FF5">
      <w:pPr>
        <w:pStyle w:val="P68B1DB1-Default7"/>
        <w:numPr>
          <w:ilvl w:val="0"/>
          <w:numId w:val="9"/>
        </w:numPr>
        <w:ind w:right="43"/>
        <w:jc w:val="both"/>
        <w:rPr>
          <w:bCs/>
          <w:szCs w:val="20"/>
          <w:lang w:val="fr-FR"/>
        </w:rPr>
      </w:pPr>
      <w:r>
        <w:rPr>
          <w:lang w:val="fr-FR"/>
        </w:rPr>
        <w:t>Pour é</w:t>
      </w:r>
      <w:r w:rsidRPr="00E740A4">
        <w:rPr>
          <w:lang w:val="fr-FR"/>
        </w:rPr>
        <w:t>liminer le paludisme des foyers où il prévaut</w:t>
      </w:r>
    </w:p>
    <w:p w14:paraId="28FBA80C" w14:textId="24DD18EA" w:rsidR="00411942" w:rsidRPr="00E740A4" w:rsidRDefault="004A6B92">
      <w:pPr>
        <w:pStyle w:val="P68B1DB1-Default7"/>
        <w:numPr>
          <w:ilvl w:val="0"/>
          <w:numId w:val="9"/>
        </w:numPr>
        <w:ind w:right="43"/>
        <w:jc w:val="both"/>
        <w:rPr>
          <w:bCs/>
          <w:szCs w:val="20"/>
          <w:lang w:val="fr-FR"/>
        </w:rPr>
      </w:pPr>
      <w:r w:rsidRPr="00E740A4">
        <w:rPr>
          <w:lang w:val="fr-FR"/>
        </w:rPr>
        <w:t>P</w:t>
      </w:r>
      <w:r w:rsidR="00020FF5">
        <w:rPr>
          <w:lang w:val="fr-FR"/>
        </w:rPr>
        <w:t>our p</w:t>
      </w:r>
      <w:r w:rsidRPr="00E740A4">
        <w:rPr>
          <w:lang w:val="fr-FR"/>
        </w:rPr>
        <w:t>rendre en compte la résistance aux insecticides</w:t>
      </w:r>
    </w:p>
    <w:p w14:paraId="0FCA44D2" w14:textId="77777777" w:rsidR="00411942" w:rsidRPr="00E740A4" w:rsidRDefault="004A6B92">
      <w:pPr>
        <w:pStyle w:val="P68B1DB1-Default7"/>
        <w:numPr>
          <w:ilvl w:val="0"/>
          <w:numId w:val="14"/>
        </w:numPr>
        <w:spacing w:before="120"/>
        <w:ind w:right="45"/>
        <w:jc w:val="both"/>
        <w:rPr>
          <w:bCs/>
          <w:szCs w:val="20"/>
          <w:lang w:val="fr-FR"/>
        </w:rPr>
      </w:pPr>
      <w:r w:rsidRPr="00E740A4">
        <w:rPr>
          <w:lang w:val="fr-FR"/>
        </w:rPr>
        <w:t>Noter ce que représente la population totale</w:t>
      </w:r>
    </w:p>
    <w:p w14:paraId="62EB50B0" w14:textId="5F083E95" w:rsidR="00411942" w:rsidRPr="00E740A4" w:rsidRDefault="004A6B92">
      <w:pPr>
        <w:pStyle w:val="P68B1DB1-Default7"/>
        <w:numPr>
          <w:ilvl w:val="0"/>
          <w:numId w:val="14"/>
        </w:numPr>
        <w:spacing w:before="120"/>
        <w:ind w:right="45"/>
        <w:jc w:val="both"/>
        <w:rPr>
          <w:bCs/>
          <w:szCs w:val="20"/>
          <w:lang w:val="fr-FR"/>
        </w:rPr>
      </w:pPr>
      <w:r w:rsidRPr="00E740A4">
        <w:rPr>
          <w:lang w:val="fr-FR"/>
        </w:rPr>
        <w:t>Établi</w:t>
      </w:r>
      <w:r w:rsidR="00FA676C">
        <w:rPr>
          <w:lang w:val="fr-FR"/>
        </w:rPr>
        <w:t>r</w:t>
      </w:r>
      <w:r w:rsidRPr="00E740A4">
        <w:rPr>
          <w:lang w:val="fr-FR"/>
        </w:rPr>
        <w:t xml:space="preserve"> l</w:t>
      </w:r>
      <w:r w:rsidR="000B498D">
        <w:rPr>
          <w:lang w:val="fr-FR"/>
        </w:rPr>
        <w:t>’</w:t>
      </w:r>
      <w:r w:rsidRPr="00E740A4">
        <w:rPr>
          <w:lang w:val="fr-FR"/>
        </w:rPr>
        <w:t>importance de la population ciblée pour la PID.</w:t>
      </w:r>
    </w:p>
    <w:p w14:paraId="3D047D3F" w14:textId="333A696D" w:rsidR="00411942" w:rsidRPr="00E740A4" w:rsidRDefault="004A6B92">
      <w:pPr>
        <w:pStyle w:val="P68B1DB1-Default7"/>
        <w:numPr>
          <w:ilvl w:val="1"/>
          <w:numId w:val="14"/>
        </w:numPr>
        <w:spacing w:before="120"/>
        <w:ind w:right="45"/>
        <w:jc w:val="both"/>
        <w:rPr>
          <w:bCs/>
          <w:szCs w:val="20"/>
          <w:lang w:val="fr-FR"/>
        </w:rPr>
      </w:pPr>
      <w:r w:rsidRPr="00E740A4">
        <w:rPr>
          <w:lang w:val="fr-FR"/>
        </w:rPr>
        <w:t>En fonction des besoins et des objectifs du programme, la stratégie de la PID peut consister à viser une couverture universelle de tous les districts et populations à risque ou une couverture ciblée de certains districts et sous-districts. La population augmente chaque année en fonction du taux de croissance démographique</w:t>
      </w:r>
    </w:p>
    <w:p w14:paraId="36681EFD" w14:textId="6D664553" w:rsidR="00411942" w:rsidRPr="00E740A4" w:rsidRDefault="004A6B92">
      <w:pPr>
        <w:pStyle w:val="P68B1DB1-Default7"/>
        <w:numPr>
          <w:ilvl w:val="0"/>
          <w:numId w:val="15"/>
        </w:numPr>
        <w:spacing w:before="120"/>
        <w:ind w:right="45"/>
        <w:jc w:val="both"/>
        <w:rPr>
          <w:bCs/>
          <w:szCs w:val="20"/>
          <w:lang w:val="fr-FR"/>
        </w:rPr>
      </w:pPr>
      <w:r w:rsidRPr="00E740A4">
        <w:rPr>
          <w:lang w:val="fr-FR"/>
        </w:rPr>
        <w:t>Détermine</w:t>
      </w:r>
      <w:r w:rsidR="00FA676C">
        <w:rPr>
          <w:lang w:val="fr-FR"/>
        </w:rPr>
        <w:t>r</w:t>
      </w:r>
      <w:r w:rsidRPr="00E740A4">
        <w:rPr>
          <w:lang w:val="fr-FR"/>
        </w:rPr>
        <w:t xml:space="preserve"> le nombre de ménages dans les zones ciblées pour la PID. La taille et la superficie des structures ainsi que le type d’insecticide adapté à utiliser dépendent du type de logement (traditionnel ou urbain)</w:t>
      </w:r>
    </w:p>
    <w:p w14:paraId="0DC27675" w14:textId="0216FFBF" w:rsidR="00411942" w:rsidRPr="00E740A4" w:rsidRDefault="004A6B92">
      <w:pPr>
        <w:pStyle w:val="P68B1DB1-Default7"/>
        <w:numPr>
          <w:ilvl w:val="0"/>
          <w:numId w:val="15"/>
        </w:numPr>
        <w:spacing w:before="120"/>
        <w:ind w:right="45"/>
        <w:jc w:val="both"/>
        <w:rPr>
          <w:bCs/>
          <w:szCs w:val="20"/>
          <w:lang w:val="fr-FR"/>
        </w:rPr>
      </w:pPr>
      <w:r w:rsidRPr="00E740A4">
        <w:rPr>
          <w:lang w:val="fr-FR"/>
        </w:rPr>
        <w:t>Quantifie</w:t>
      </w:r>
      <w:r w:rsidR="00BF3DE4">
        <w:rPr>
          <w:lang w:val="fr-FR"/>
        </w:rPr>
        <w:t>r</w:t>
      </w:r>
      <w:r w:rsidRPr="00E740A4">
        <w:rPr>
          <w:lang w:val="fr-FR"/>
        </w:rPr>
        <w:t xml:space="preserve"> la superficie moyenne de la surface à pulvériser (en m</w:t>
      </w:r>
      <w:r w:rsidRPr="00201318">
        <w:rPr>
          <w:vertAlign w:val="superscript"/>
          <w:lang w:val="fr-FR"/>
        </w:rPr>
        <w:t>2</w:t>
      </w:r>
      <w:r w:rsidRPr="00E740A4">
        <w:rPr>
          <w:lang w:val="fr-FR"/>
        </w:rPr>
        <w:t>) des structures et du nombre de structures dans les zones cibles.</w:t>
      </w:r>
    </w:p>
    <w:p w14:paraId="3237182B" w14:textId="5A59097C" w:rsidR="00411942" w:rsidRPr="00E740A4" w:rsidRDefault="004A6B92">
      <w:pPr>
        <w:pStyle w:val="P68B1DB1-Default7"/>
        <w:numPr>
          <w:ilvl w:val="0"/>
          <w:numId w:val="15"/>
        </w:numPr>
        <w:spacing w:before="120"/>
        <w:ind w:right="45"/>
        <w:jc w:val="both"/>
        <w:rPr>
          <w:bCs/>
          <w:szCs w:val="20"/>
          <w:lang w:val="fr-FR"/>
        </w:rPr>
      </w:pPr>
      <w:r w:rsidRPr="00E740A4">
        <w:rPr>
          <w:lang w:val="fr-FR"/>
        </w:rPr>
        <w:t>Détermine</w:t>
      </w:r>
      <w:r w:rsidR="00BF3DE4">
        <w:rPr>
          <w:lang w:val="fr-FR"/>
        </w:rPr>
        <w:t>r</w:t>
      </w:r>
      <w:r w:rsidRPr="00E740A4">
        <w:rPr>
          <w:lang w:val="fr-FR"/>
        </w:rPr>
        <w:t xml:space="preserve"> le nombre de cycles de PID par an. L’estimation dépend du type de transmission du paludisme et de la durée d’efficacité de l’insecticide. Dans les zones où la transmission est saisonnière, un épisode de pulvérisation suffit, tandis que dans les zones où la saison de transmission dure plus de 8 mois ou connaît deux pics saisonniers, plusieurs épisodes de pulvérisation seront nécessaires.</w:t>
      </w:r>
    </w:p>
    <w:p w14:paraId="571D12C1" w14:textId="2741A79C" w:rsidR="00411942" w:rsidRPr="00E740A4" w:rsidRDefault="004A6B92">
      <w:pPr>
        <w:pStyle w:val="P68B1DB1-Default7"/>
        <w:numPr>
          <w:ilvl w:val="0"/>
          <w:numId w:val="15"/>
        </w:numPr>
        <w:spacing w:before="120"/>
        <w:ind w:right="45"/>
        <w:jc w:val="both"/>
        <w:rPr>
          <w:bCs/>
          <w:szCs w:val="20"/>
          <w:lang w:val="fr-FR"/>
        </w:rPr>
      </w:pPr>
      <w:r w:rsidRPr="00E740A4">
        <w:rPr>
          <w:lang w:val="fr-FR"/>
        </w:rPr>
        <w:t>Une fois établis les districts et populations cibles à protéger, les structures à pulvériser et le nombre de cycles par an, des outils et des directives existent pour calculer les ressources humaines et financières nécessaires en matière d’insecticide, d’équipements, de personnel, de frais opérationnels, de suivi-évaluation, etc. Consulte</w:t>
      </w:r>
      <w:r w:rsidR="00BF3DE4">
        <w:rPr>
          <w:lang w:val="fr-FR"/>
        </w:rPr>
        <w:t>r</w:t>
      </w:r>
      <w:r w:rsidRPr="00E740A4">
        <w:rPr>
          <w:lang w:val="fr-FR"/>
        </w:rPr>
        <w:t xml:space="preserve"> le manuel opérationnel de l</w:t>
      </w:r>
      <w:r w:rsidR="000B498D">
        <w:rPr>
          <w:lang w:val="fr-FR"/>
        </w:rPr>
        <w:t>’</w:t>
      </w:r>
      <w:r w:rsidRPr="00E740A4">
        <w:rPr>
          <w:lang w:val="fr-FR"/>
        </w:rPr>
        <w:t>OMS sur la pulvérisation intradomiciliaire à effet rémanent (</w:t>
      </w:r>
      <w:hyperlink r:id="rId14" w:history="1">
        <w:r w:rsidR="00E94748" w:rsidRPr="00C7538E">
          <w:rPr>
            <w:rStyle w:val="Hyperlink"/>
            <w:lang w:val="fr-FR"/>
          </w:rPr>
          <w:t>https://www.who.int/publications/i/item/9789244508940</w:t>
        </w:r>
      </w:hyperlink>
      <w:r w:rsidRPr="00E740A4">
        <w:rPr>
          <w:lang w:val="fr-FR"/>
        </w:rPr>
        <w:t>)</w:t>
      </w:r>
    </w:p>
    <w:p w14:paraId="6CC5E6A5" w14:textId="38754A07" w:rsidR="00411942" w:rsidRPr="00E740A4" w:rsidRDefault="004A6B92">
      <w:pPr>
        <w:pStyle w:val="P68B1DB1-Default7"/>
        <w:numPr>
          <w:ilvl w:val="0"/>
          <w:numId w:val="15"/>
        </w:numPr>
        <w:spacing w:before="120"/>
        <w:ind w:right="45"/>
        <w:jc w:val="both"/>
        <w:rPr>
          <w:bCs/>
          <w:szCs w:val="20"/>
          <w:lang w:val="fr-FR"/>
        </w:rPr>
      </w:pPr>
      <w:r w:rsidRPr="00E740A4">
        <w:rPr>
          <w:lang w:val="fr-FR"/>
        </w:rPr>
        <w:t>Établi</w:t>
      </w:r>
      <w:r w:rsidR="00BF3DE4">
        <w:rPr>
          <w:lang w:val="fr-FR"/>
        </w:rPr>
        <w:t>r</w:t>
      </w:r>
      <w:r w:rsidRPr="00E740A4">
        <w:rPr>
          <w:lang w:val="fr-FR"/>
        </w:rPr>
        <w:t xml:space="preserve"> les quantités de produits chimiques à utiliser pour la PID pour chaque année de mise en </w:t>
      </w:r>
      <w:r w:rsidR="009B171A" w:rsidRPr="00E740A4">
        <w:rPr>
          <w:lang w:val="fr-FR"/>
        </w:rPr>
        <w:t>œuvre</w:t>
      </w:r>
      <w:r w:rsidRPr="00E740A4">
        <w:rPr>
          <w:lang w:val="fr-FR"/>
        </w:rPr>
        <w:t xml:space="preserve"> du plan. Ce calcul s’appuie sur le nombre total de foyers et la superficie totale à pulvériser. Il tient également compte du type d’insecticide employé, de la concentration de principes actifs dosés par mètre carré, et du nombre de sachets/bouteilles requis par foyer. Pour obtenir des conseils plus spécifiques, consulte</w:t>
      </w:r>
      <w:r w:rsidR="00BF3DE4">
        <w:rPr>
          <w:lang w:val="fr-FR"/>
        </w:rPr>
        <w:t>r</w:t>
      </w:r>
      <w:r w:rsidRPr="00E740A4">
        <w:rPr>
          <w:lang w:val="fr-FR"/>
        </w:rPr>
        <w:t xml:space="preserve"> les directives et les étiquettes du fabricant de l’insecticide. Les coûts doivent prendre en compte le transport, l</w:t>
      </w:r>
      <w:r w:rsidR="000B498D">
        <w:rPr>
          <w:lang w:val="fr-FR"/>
        </w:rPr>
        <w:t>’</w:t>
      </w:r>
      <w:r w:rsidRPr="00E740A4">
        <w:rPr>
          <w:lang w:val="fr-FR"/>
        </w:rPr>
        <w:t>entreposage et la disposition.</w:t>
      </w:r>
    </w:p>
    <w:p w14:paraId="3C9BDE36" w14:textId="1D5093F4" w:rsidR="00411942" w:rsidRPr="00E740A4" w:rsidRDefault="004A6B92">
      <w:pPr>
        <w:pStyle w:val="P68B1DB1-Default7"/>
        <w:numPr>
          <w:ilvl w:val="0"/>
          <w:numId w:val="15"/>
        </w:numPr>
        <w:spacing w:before="120"/>
        <w:ind w:right="45"/>
        <w:jc w:val="both"/>
        <w:rPr>
          <w:bCs/>
          <w:szCs w:val="20"/>
          <w:lang w:val="fr-FR"/>
        </w:rPr>
      </w:pPr>
      <w:r w:rsidRPr="00E740A4">
        <w:rPr>
          <w:lang w:val="fr-FR"/>
        </w:rPr>
        <w:t>Établi</w:t>
      </w:r>
      <w:r w:rsidR="00BF3DE4">
        <w:rPr>
          <w:lang w:val="fr-FR"/>
        </w:rPr>
        <w:t>r</w:t>
      </w:r>
      <w:r w:rsidRPr="00E740A4">
        <w:rPr>
          <w:lang w:val="fr-FR"/>
        </w:rPr>
        <w:t xml:space="preserve"> le nombre de pompes de pulvérisation manuelle pour PID et des kits de réparation pour chaque année de mise en œuvre du plan. Ce calcul s’appuie sur l’inventaire des stocks de pompes de pulvérisation en état de marche et de celles qui doivent être réparées, ainsi que sur le nombre attendu d’équipes chargées de la pulvérisation à être déployés. Des kits de rechange standard sont disponibles auprès des fabricants pour 4, 6, 8 et 10 équipes d</w:t>
      </w:r>
      <w:r w:rsidR="000B498D">
        <w:rPr>
          <w:lang w:val="fr-FR"/>
        </w:rPr>
        <w:t>’</w:t>
      </w:r>
      <w:r w:rsidRPr="00E740A4">
        <w:rPr>
          <w:lang w:val="fr-FR"/>
        </w:rPr>
        <w:t>exploitation de la PID</w:t>
      </w:r>
    </w:p>
    <w:p w14:paraId="1658940B" w14:textId="50BC2C16" w:rsidR="00411942" w:rsidRPr="00E740A4" w:rsidRDefault="004A6B92">
      <w:pPr>
        <w:pStyle w:val="P68B1DB1-Default7"/>
        <w:numPr>
          <w:ilvl w:val="0"/>
          <w:numId w:val="15"/>
        </w:numPr>
        <w:spacing w:before="120"/>
        <w:ind w:right="45"/>
        <w:jc w:val="both"/>
        <w:rPr>
          <w:bCs/>
          <w:szCs w:val="20"/>
          <w:lang w:val="fr-FR"/>
        </w:rPr>
      </w:pPr>
      <w:r w:rsidRPr="00E740A4">
        <w:rPr>
          <w:lang w:val="fr-FR"/>
        </w:rPr>
        <w:t>Établi</w:t>
      </w:r>
      <w:r w:rsidR="00BF3DE4">
        <w:rPr>
          <w:lang w:val="fr-FR"/>
        </w:rPr>
        <w:t>r</w:t>
      </w:r>
      <w:r w:rsidRPr="00E740A4">
        <w:rPr>
          <w:lang w:val="fr-FR"/>
        </w:rPr>
        <w:t xml:space="preserve"> les besoins en équipements de protection pour les PID pour chaque année de mise en œuvre du plan. Ce calcul s</w:t>
      </w:r>
      <w:r w:rsidR="000B498D">
        <w:rPr>
          <w:lang w:val="fr-FR"/>
        </w:rPr>
        <w:t>’</w:t>
      </w:r>
      <w:r w:rsidRPr="00E740A4">
        <w:rPr>
          <w:lang w:val="fr-FR"/>
        </w:rPr>
        <w:t>effectue en s</w:t>
      </w:r>
      <w:r w:rsidR="000B498D">
        <w:rPr>
          <w:lang w:val="fr-FR"/>
        </w:rPr>
        <w:t>’</w:t>
      </w:r>
      <w:r w:rsidRPr="00E740A4">
        <w:rPr>
          <w:lang w:val="fr-FR"/>
        </w:rPr>
        <w:t>appuyant sur l</w:t>
      </w:r>
      <w:r w:rsidR="000B498D">
        <w:rPr>
          <w:lang w:val="fr-FR"/>
        </w:rPr>
        <w:t>’</w:t>
      </w:r>
      <w:r w:rsidRPr="00E740A4">
        <w:rPr>
          <w:lang w:val="fr-FR"/>
        </w:rPr>
        <w:t>inventaire des stocks de kit</w:t>
      </w:r>
      <w:r w:rsidR="00F01C74">
        <w:rPr>
          <w:lang w:val="fr-FR"/>
        </w:rPr>
        <w:t>s</w:t>
      </w:r>
      <w:r w:rsidRPr="00E740A4">
        <w:rPr>
          <w:lang w:val="fr-FR"/>
        </w:rPr>
        <w:t xml:space="preserve"> de protection par opérateur de pulvérisation et sur le nombre attendu d</w:t>
      </w:r>
      <w:r w:rsidR="000B498D">
        <w:rPr>
          <w:lang w:val="fr-FR"/>
        </w:rPr>
        <w:t>’</w:t>
      </w:r>
      <w:r w:rsidRPr="00E740A4">
        <w:rPr>
          <w:lang w:val="fr-FR"/>
        </w:rPr>
        <w:t>opérateurs de pulvérisation à déployer</w:t>
      </w:r>
    </w:p>
    <w:p w14:paraId="657EC952" w14:textId="18F46FAD" w:rsidR="00411942" w:rsidRPr="00E740A4" w:rsidRDefault="004A6B92">
      <w:pPr>
        <w:pStyle w:val="P68B1DB1-Default7"/>
        <w:numPr>
          <w:ilvl w:val="0"/>
          <w:numId w:val="15"/>
        </w:numPr>
        <w:spacing w:before="120"/>
        <w:ind w:right="45"/>
        <w:jc w:val="both"/>
        <w:rPr>
          <w:bCs/>
          <w:szCs w:val="20"/>
          <w:lang w:val="fr-FR"/>
        </w:rPr>
      </w:pPr>
      <w:r w:rsidRPr="00E740A4">
        <w:rPr>
          <w:lang w:val="fr-FR"/>
        </w:rPr>
        <w:t>Estime</w:t>
      </w:r>
      <w:r w:rsidR="00BF3DE4">
        <w:rPr>
          <w:lang w:val="fr-FR"/>
        </w:rPr>
        <w:t>r</w:t>
      </w:r>
      <w:r w:rsidRPr="00E740A4">
        <w:rPr>
          <w:lang w:val="fr-FR"/>
        </w:rPr>
        <w:t xml:space="preserve"> les coûts opérationnels et administratifs de la campagne annuelle de pulvérisation. Ils comprendront tous les frais de personnel, notamment les indemnités journalières des opérateurs </w:t>
      </w:r>
      <w:r w:rsidRPr="00E740A4">
        <w:rPr>
          <w:lang w:val="fr-FR"/>
        </w:rPr>
        <w:lastRenderedPageBreak/>
        <w:t>de pulvérisation et de leurs superviseurs, le transport (achat ou location de véhicule, maintenance, essence), ainsi que les frais de location, de gardiennage et d’aménagement des entrepôts de stockage, des zones de transit et de lavage, ainsi que des besoins relatifs à la gestion des déchets.</w:t>
      </w:r>
    </w:p>
    <w:p w14:paraId="6A0B08E0" w14:textId="6173C950" w:rsidR="00411942" w:rsidRPr="00E740A4" w:rsidRDefault="004A6B92">
      <w:pPr>
        <w:pStyle w:val="P68B1DB1-Default7"/>
        <w:numPr>
          <w:ilvl w:val="0"/>
          <w:numId w:val="15"/>
        </w:numPr>
        <w:spacing w:before="120"/>
        <w:ind w:right="45"/>
        <w:jc w:val="both"/>
        <w:rPr>
          <w:bCs/>
          <w:szCs w:val="20"/>
          <w:lang w:val="fr-FR"/>
        </w:rPr>
      </w:pPr>
      <w:r w:rsidRPr="00E740A4">
        <w:rPr>
          <w:lang w:val="fr-FR"/>
        </w:rPr>
        <w:t>Établi</w:t>
      </w:r>
      <w:r w:rsidR="00246A1A">
        <w:rPr>
          <w:lang w:val="fr-FR"/>
        </w:rPr>
        <w:t>r</w:t>
      </w:r>
      <w:r w:rsidRPr="00E740A4">
        <w:rPr>
          <w:lang w:val="fr-FR"/>
        </w:rPr>
        <w:t xml:space="preserve"> les coûts annuels de formation en cascade et de </w:t>
      </w:r>
      <w:r w:rsidR="00C723E4">
        <w:rPr>
          <w:lang w:val="fr-FR"/>
        </w:rPr>
        <w:t>supervision</w:t>
      </w:r>
      <w:r w:rsidRPr="00E740A4">
        <w:rPr>
          <w:lang w:val="fr-FR"/>
        </w:rPr>
        <w:t>. Ce calcul s</w:t>
      </w:r>
      <w:r w:rsidR="000B498D">
        <w:rPr>
          <w:lang w:val="fr-FR"/>
        </w:rPr>
        <w:t>’</w:t>
      </w:r>
      <w:r w:rsidRPr="00E740A4">
        <w:rPr>
          <w:lang w:val="fr-FR"/>
        </w:rPr>
        <w:t xml:space="preserve">appuie sur un cours </w:t>
      </w:r>
      <w:r w:rsidR="00C723E4">
        <w:rPr>
          <w:lang w:val="fr-FR"/>
        </w:rPr>
        <w:t xml:space="preserve">national </w:t>
      </w:r>
      <w:r w:rsidRPr="00E740A4">
        <w:rPr>
          <w:lang w:val="fr-FR"/>
        </w:rPr>
        <w:t xml:space="preserve">annuel de formation destiné à la formation des formateurs, un cours provincial destiné aux superviseurs et des cours de formation au niveau des districts pour les opérateurs de pulvérisation chargés des PID. Par supervision, on entend la supervision mensuelle de toutes les équipes chargées de la pulvérisation par les superviseurs de district, et une visite de terrain dans tous les districts au moins une fois par cycle de pulvérisation par les superviseurs régionaux et nationaux. Le calcul tient compte des indemnités journalières et des frais de déplacement </w:t>
      </w:r>
      <w:r w:rsidR="00C723E4">
        <w:rPr>
          <w:lang w:val="fr-FR"/>
        </w:rPr>
        <w:t xml:space="preserve">et de mission </w:t>
      </w:r>
      <w:r w:rsidRPr="00E740A4">
        <w:rPr>
          <w:lang w:val="fr-FR"/>
        </w:rPr>
        <w:t>des facilitateurs et des superviseurs, des frais de</w:t>
      </w:r>
      <w:r w:rsidR="00C723E4">
        <w:rPr>
          <w:lang w:val="fr-FR"/>
        </w:rPr>
        <w:t>s</w:t>
      </w:r>
      <w:r w:rsidRPr="00E740A4">
        <w:rPr>
          <w:lang w:val="fr-FR"/>
        </w:rPr>
        <w:t xml:space="preserve"> matéri</w:t>
      </w:r>
      <w:r w:rsidR="00C723E4">
        <w:rPr>
          <w:lang w:val="fr-FR"/>
        </w:rPr>
        <w:t>aux,</w:t>
      </w:r>
      <w:r w:rsidRPr="00E740A4">
        <w:rPr>
          <w:lang w:val="fr-FR"/>
        </w:rPr>
        <w:t xml:space="preserve"> des frais d</w:t>
      </w:r>
      <w:r w:rsidR="00C723E4">
        <w:rPr>
          <w:lang w:val="fr-FR"/>
        </w:rPr>
        <w:t>’alimentation</w:t>
      </w:r>
      <w:r w:rsidRPr="00E740A4">
        <w:rPr>
          <w:lang w:val="fr-FR"/>
        </w:rPr>
        <w:t>, de la location de locaux, etc.</w:t>
      </w:r>
    </w:p>
    <w:p w14:paraId="64E64D1A" w14:textId="31FEE173" w:rsidR="00411942" w:rsidRPr="00E740A4" w:rsidRDefault="004A6B92">
      <w:pPr>
        <w:pStyle w:val="P68B1DB1-Default7"/>
        <w:numPr>
          <w:ilvl w:val="0"/>
          <w:numId w:val="15"/>
        </w:numPr>
        <w:spacing w:before="120"/>
        <w:ind w:right="45"/>
        <w:jc w:val="both"/>
        <w:rPr>
          <w:bCs/>
          <w:szCs w:val="20"/>
          <w:lang w:val="fr-FR"/>
        </w:rPr>
      </w:pPr>
      <w:r w:rsidRPr="00E740A4">
        <w:rPr>
          <w:lang w:val="fr-FR"/>
        </w:rPr>
        <w:t xml:space="preserve">La mobilisation des communautés </w:t>
      </w:r>
      <w:r w:rsidR="00C723E4">
        <w:rPr>
          <w:lang w:val="fr-FR"/>
        </w:rPr>
        <w:t>comprend</w:t>
      </w:r>
      <w:r w:rsidR="00C723E4" w:rsidRPr="00E740A4">
        <w:rPr>
          <w:lang w:val="fr-FR"/>
        </w:rPr>
        <w:t xml:space="preserve"> </w:t>
      </w:r>
      <w:r w:rsidRPr="00E740A4">
        <w:rPr>
          <w:lang w:val="fr-FR"/>
        </w:rPr>
        <w:t>les ressources humaines et financières utilisées pour les réunions communautaires de préparation, les campagnes d’information et les agents de mobilisation qui font du porte-à-porte dans les communautés et précèdent les équipes de pulvérisateurs afin de préparer les habitations à la phase de pulvérisation.</w:t>
      </w:r>
    </w:p>
    <w:p w14:paraId="79E839E1" w14:textId="1A1BB506" w:rsidR="00411942" w:rsidRPr="00E740A4" w:rsidRDefault="004A6B92">
      <w:pPr>
        <w:pStyle w:val="P68B1DB1-Default7"/>
        <w:numPr>
          <w:ilvl w:val="0"/>
          <w:numId w:val="15"/>
        </w:numPr>
        <w:spacing w:before="120"/>
        <w:ind w:right="45"/>
        <w:jc w:val="both"/>
        <w:rPr>
          <w:bCs/>
          <w:szCs w:val="20"/>
          <w:lang w:val="fr-FR"/>
        </w:rPr>
      </w:pPr>
      <w:r w:rsidRPr="00E740A4">
        <w:rPr>
          <w:lang w:val="fr-FR"/>
        </w:rPr>
        <w:t xml:space="preserve">Coûts de suivi et de production de rapports sur la PID. Production de rapports de </w:t>
      </w:r>
      <w:r w:rsidR="00C723E4">
        <w:rPr>
          <w:lang w:val="fr-FR"/>
        </w:rPr>
        <w:t xml:space="preserve">la </w:t>
      </w:r>
      <w:r w:rsidRPr="00E740A4">
        <w:rPr>
          <w:lang w:val="fr-FR"/>
        </w:rPr>
        <w:t>pulvérisation journaliers, mensuels et annuels sur les habitations pulvérisées, la population couverte, les insecticides utilisés et en stock, les pompes de pulvérisation dans les entrepôts et les besoins de réparation, les équipement</w:t>
      </w:r>
      <w:r w:rsidR="00F01C74">
        <w:rPr>
          <w:lang w:val="fr-FR"/>
        </w:rPr>
        <w:t>s</w:t>
      </w:r>
      <w:r w:rsidRPr="00E740A4">
        <w:rPr>
          <w:lang w:val="fr-FR"/>
        </w:rPr>
        <w:t xml:space="preserve"> de protection disponibles, le transport utilisé, le financement alloué et utilisé, etc. </w:t>
      </w:r>
      <w:r w:rsidR="00366DB0">
        <w:rPr>
          <w:lang w:val="fr-FR"/>
        </w:rPr>
        <w:t>L’a</w:t>
      </w:r>
      <w:r w:rsidRPr="00E740A4">
        <w:rPr>
          <w:lang w:val="fr-FR"/>
        </w:rPr>
        <w:t>ssurance de la qualité de la pulvérisation (suivi de la durabilité, etc.) sur différents sites de pulvérisation pendant et après la campagne. Les sites sentinelles vectorielles doivent être d</w:t>
      </w:r>
      <w:r w:rsidR="000B498D">
        <w:rPr>
          <w:lang w:val="fr-FR"/>
        </w:rPr>
        <w:t>’</w:t>
      </w:r>
      <w:r w:rsidRPr="00E740A4">
        <w:rPr>
          <w:lang w:val="fr-FR"/>
        </w:rPr>
        <w:t>au moins un site par million de personnes et être situés de manière représentative dans différentes zones éco-épidémiologiques de transmission. Des tests biologiques annuels doivent être menés après chaque cycle de pulvérisation. Des tests annuels de sensibilité aux insecticides doivent être menés avant chaque cycle de pulvérisation</w:t>
      </w:r>
    </w:p>
    <w:p w14:paraId="7FE7636D" w14:textId="33FC5C28" w:rsidR="00411942" w:rsidRPr="00E740A4" w:rsidRDefault="004A6B92">
      <w:pPr>
        <w:pStyle w:val="P68B1DB1-ListParagraph4"/>
        <w:numPr>
          <w:ilvl w:val="0"/>
          <w:numId w:val="14"/>
        </w:numPr>
        <w:spacing w:before="120"/>
        <w:ind w:right="43"/>
        <w:jc w:val="both"/>
        <w:rPr>
          <w:bCs/>
          <w:szCs w:val="20"/>
          <w:lang w:val="fr-FR"/>
        </w:rPr>
      </w:pPr>
      <w:r w:rsidRPr="00E740A4">
        <w:rPr>
          <w:lang w:val="fr-FR"/>
        </w:rPr>
        <w:t xml:space="preserve">Il convient de déterminer quels moyens de financement et de soutien seront engagés par l’entremise des ressources </w:t>
      </w:r>
      <w:r w:rsidR="0039152B">
        <w:rPr>
          <w:lang w:val="fr-FR"/>
        </w:rPr>
        <w:t xml:space="preserve">nationales </w:t>
      </w:r>
      <w:r w:rsidRPr="00E740A4">
        <w:rPr>
          <w:lang w:val="fr-FR"/>
        </w:rPr>
        <w:t xml:space="preserve">et des partenaires et quels </w:t>
      </w:r>
      <w:r w:rsidR="00330F0C">
        <w:rPr>
          <w:lang w:val="fr-FR"/>
        </w:rPr>
        <w:t>écart</w:t>
      </w:r>
      <w:r w:rsidRPr="00E740A4">
        <w:rPr>
          <w:lang w:val="fr-FR"/>
        </w:rPr>
        <w:t xml:space="preserve">s subsistent. Estimer les produits essentiels, les ressources logistiques et humaines et les actions déjà pris en compte par les ressources et systèmes nationaux existants. Évaluer les éléments du programme national et du système de santé qui sont disponibles pour la mise en </w:t>
      </w:r>
      <w:r w:rsidR="009B171A" w:rsidRPr="00E740A4">
        <w:rPr>
          <w:lang w:val="fr-FR"/>
        </w:rPr>
        <w:t>œuvre</w:t>
      </w:r>
      <w:r w:rsidRPr="00E740A4">
        <w:rPr>
          <w:lang w:val="fr-FR"/>
        </w:rPr>
        <w:t xml:space="preserve"> du service de la PID. Se réunir avec les partenaires et les parties prenantes pour évaluer l’état de planification de leurs contributions particulières en matière de PID</w:t>
      </w:r>
    </w:p>
    <w:p w14:paraId="6B9A18A3" w14:textId="73682E1D" w:rsidR="00411942" w:rsidRPr="00E740A4" w:rsidRDefault="004A6B92">
      <w:pPr>
        <w:pStyle w:val="P68B1DB1-ListParagraph4"/>
        <w:numPr>
          <w:ilvl w:val="0"/>
          <w:numId w:val="14"/>
        </w:numPr>
        <w:spacing w:before="120"/>
        <w:ind w:right="43"/>
        <w:jc w:val="both"/>
        <w:rPr>
          <w:szCs w:val="20"/>
          <w:lang w:val="fr-FR"/>
        </w:rPr>
      </w:pPr>
      <w:r w:rsidRPr="00E740A4">
        <w:rPr>
          <w:lang w:val="fr-FR"/>
        </w:rPr>
        <w:t>Estime</w:t>
      </w:r>
      <w:r w:rsidR="00246A1A">
        <w:rPr>
          <w:lang w:val="fr-FR"/>
        </w:rPr>
        <w:t>r</w:t>
      </w:r>
      <w:r w:rsidRPr="00E740A4">
        <w:rPr>
          <w:lang w:val="fr-FR"/>
        </w:rPr>
        <w:t xml:space="preserve"> les </w:t>
      </w:r>
      <w:r w:rsidR="0039152B">
        <w:rPr>
          <w:lang w:val="fr-FR"/>
        </w:rPr>
        <w:t>déficits</w:t>
      </w:r>
      <w:r w:rsidR="0039152B" w:rsidRPr="00E740A4">
        <w:rPr>
          <w:lang w:val="fr-FR"/>
        </w:rPr>
        <w:t xml:space="preserve"> </w:t>
      </w:r>
      <w:r w:rsidRPr="00E740A4">
        <w:rPr>
          <w:lang w:val="fr-FR"/>
        </w:rPr>
        <w:t>annuels attendus restant à combler pour les produits essentiels, les ressources logistiques, les ressources humaines et les activités</w:t>
      </w:r>
    </w:p>
    <w:p w14:paraId="6BA3BBA1" w14:textId="789C8559" w:rsidR="00411942" w:rsidRPr="00E740A4" w:rsidRDefault="004A6B92">
      <w:pPr>
        <w:pStyle w:val="P68B1DB1-ListParagraph4"/>
        <w:numPr>
          <w:ilvl w:val="0"/>
          <w:numId w:val="14"/>
        </w:numPr>
        <w:spacing w:before="120"/>
        <w:jc w:val="both"/>
        <w:rPr>
          <w:szCs w:val="20"/>
          <w:lang w:val="fr-FR"/>
        </w:rPr>
      </w:pPr>
      <w:r w:rsidRPr="00E740A4">
        <w:rPr>
          <w:lang w:val="fr-FR"/>
        </w:rPr>
        <w:t>Précise</w:t>
      </w:r>
      <w:r w:rsidR="00246A1A">
        <w:rPr>
          <w:lang w:val="fr-FR"/>
        </w:rPr>
        <w:t>r</w:t>
      </w:r>
      <w:r w:rsidRPr="00E740A4">
        <w:rPr>
          <w:lang w:val="fr-FR"/>
        </w:rPr>
        <w:t xml:space="preserve"> les éléments qui seront financés par le biais de l</w:t>
      </w:r>
      <w:r w:rsidR="000B498D">
        <w:rPr>
          <w:lang w:val="fr-FR"/>
        </w:rPr>
        <w:t>’</w:t>
      </w:r>
      <w:r w:rsidRPr="00E740A4">
        <w:rPr>
          <w:lang w:val="fr-FR"/>
        </w:rPr>
        <w:t>allocation du Fonds mondial en faveur du paludisme et envisage</w:t>
      </w:r>
      <w:r w:rsidR="00246A1A">
        <w:rPr>
          <w:lang w:val="fr-FR"/>
        </w:rPr>
        <w:t>r</w:t>
      </w:r>
      <w:r w:rsidRPr="00E740A4">
        <w:rPr>
          <w:lang w:val="fr-FR"/>
        </w:rPr>
        <w:t xml:space="preserve"> de placer les manques encore à combler dans la </w:t>
      </w:r>
      <w:r w:rsidR="004B3703">
        <w:rPr>
          <w:lang w:val="fr-FR"/>
        </w:rPr>
        <w:t>d</w:t>
      </w:r>
      <w:r w:rsidR="004B3703" w:rsidRPr="004B3703">
        <w:rPr>
          <w:lang w:val="fr-FR"/>
        </w:rPr>
        <w:t>emande hiérarchisée de financement au-delà de la somme allouée</w:t>
      </w:r>
      <w:r w:rsidRPr="00E740A4">
        <w:rPr>
          <w:lang w:val="fr-FR"/>
        </w:rPr>
        <w:t xml:space="preserve"> du Fonds mondial.</w:t>
      </w:r>
    </w:p>
    <w:p w14:paraId="29DDF68E" w14:textId="5B5C8503" w:rsidR="00411942" w:rsidRPr="00E740A4" w:rsidRDefault="004A6B92">
      <w:pPr>
        <w:pStyle w:val="P68B1DB1-ListParagraph4"/>
        <w:numPr>
          <w:ilvl w:val="0"/>
          <w:numId w:val="14"/>
        </w:numPr>
        <w:spacing w:before="120"/>
        <w:jc w:val="both"/>
        <w:rPr>
          <w:szCs w:val="20"/>
          <w:lang w:val="fr-FR"/>
        </w:rPr>
      </w:pPr>
      <w:r w:rsidRPr="00E740A4">
        <w:rPr>
          <w:lang w:val="fr-FR"/>
        </w:rPr>
        <w:t>Précis</w:t>
      </w:r>
      <w:r w:rsidR="008A2D22">
        <w:rPr>
          <w:lang w:val="fr-FR"/>
        </w:rPr>
        <w:t>er</w:t>
      </w:r>
      <w:r w:rsidRPr="00E740A4">
        <w:rPr>
          <w:lang w:val="fr-FR"/>
        </w:rPr>
        <w:t xml:space="preserve"> les insecticides utilisés et le fait de savoir s’ils ont été changés au cours du cycle de financement, et si tel était le cas, pour quelle autre substance.</w:t>
      </w:r>
    </w:p>
    <w:p w14:paraId="19386DBE" w14:textId="13F34AEB" w:rsidR="00411942" w:rsidRPr="00E740A4" w:rsidRDefault="004A6B92">
      <w:pPr>
        <w:pStyle w:val="P68B1DB1-Heading23"/>
        <w:spacing w:before="120"/>
        <w:rPr>
          <w:szCs w:val="20"/>
          <w:lang w:val="fr-FR"/>
        </w:rPr>
      </w:pPr>
      <w:r w:rsidRPr="00E740A4">
        <w:rPr>
          <w:lang w:val="fr-FR"/>
        </w:rPr>
        <w:t xml:space="preserve">Analyse des </w:t>
      </w:r>
      <w:r w:rsidR="00330F0C">
        <w:rPr>
          <w:lang w:val="fr-FR"/>
        </w:rPr>
        <w:t>écart</w:t>
      </w:r>
      <w:r w:rsidRPr="00E740A4">
        <w:rPr>
          <w:lang w:val="fr-FR"/>
        </w:rPr>
        <w:t>s concernant le diagnostic et le traitement du paludisme</w:t>
      </w:r>
    </w:p>
    <w:p w14:paraId="091BE97C" w14:textId="2D05C66D" w:rsidR="00411942" w:rsidRPr="00E740A4" w:rsidRDefault="004A6B92">
      <w:pPr>
        <w:pStyle w:val="P68B1DB1-Normal2"/>
        <w:spacing w:before="120"/>
        <w:jc w:val="both"/>
        <w:rPr>
          <w:szCs w:val="20"/>
          <w:lang w:val="fr-FR"/>
        </w:rPr>
      </w:pPr>
      <w:r w:rsidRPr="00E740A4">
        <w:rPr>
          <w:lang w:val="fr-FR"/>
        </w:rPr>
        <w:t xml:space="preserve">Les besoins définis en termes de traitements par combinaison thérapeutique à base d’artémisinine (CTA) et de tests de dépistage du paludisme (microscopie et tests de diagnostic rapide </w:t>
      </w:r>
      <w:r w:rsidR="00E2484E">
        <w:rPr>
          <w:lang w:val="fr-FR"/>
        </w:rPr>
        <w:t>(</w:t>
      </w:r>
      <w:r w:rsidRPr="00E740A4">
        <w:rPr>
          <w:lang w:val="fr-FR"/>
        </w:rPr>
        <w:t>TDR) dépendent de l’épidémiologie de la maladie et de la couverture du système de santé. Il est essentiel d’avoir recours aux hypothèses scientifiques, factuelles et rationnelles les plus récentes. Note</w:t>
      </w:r>
      <w:r w:rsidR="00246A1A">
        <w:rPr>
          <w:lang w:val="fr-FR"/>
        </w:rPr>
        <w:t>r</w:t>
      </w:r>
      <w:r w:rsidRPr="00E740A4">
        <w:rPr>
          <w:lang w:val="fr-FR"/>
        </w:rPr>
        <w:t xml:space="preserve"> t</w:t>
      </w:r>
      <w:r w:rsidR="00246A1A">
        <w:rPr>
          <w:lang w:val="fr-FR"/>
        </w:rPr>
        <w:t>outefois</w:t>
      </w:r>
      <w:r w:rsidRPr="00E740A4">
        <w:rPr>
          <w:lang w:val="fr-FR"/>
        </w:rPr>
        <w:t xml:space="preserve"> que toutes les hypothèses du tableau ne s’appliquent pas nécessairement à votre situation locale. Ne pas </w:t>
      </w:r>
      <w:r w:rsidR="00246A1A">
        <w:rPr>
          <w:lang w:val="fr-FR"/>
        </w:rPr>
        <w:t xml:space="preserve">tenir </w:t>
      </w:r>
      <w:r w:rsidRPr="00E740A4">
        <w:rPr>
          <w:lang w:val="fr-FR"/>
        </w:rPr>
        <w:t>compte des hypothèses sans rapport avec la situation de votre pays. De même, ne pas</w:t>
      </w:r>
      <w:r w:rsidR="00246A1A">
        <w:rPr>
          <w:lang w:val="fr-FR"/>
        </w:rPr>
        <w:t xml:space="preserve"> hésiter</w:t>
      </w:r>
      <w:r w:rsidRPr="00E740A4">
        <w:rPr>
          <w:lang w:val="fr-FR"/>
        </w:rPr>
        <w:t xml:space="preserve"> à inclure d’autres hypothèses absentes du tableau, mais qu</w:t>
      </w:r>
      <w:r w:rsidR="006919A1">
        <w:rPr>
          <w:lang w:val="fr-FR"/>
        </w:rPr>
        <w:t>i seront</w:t>
      </w:r>
      <w:r w:rsidRPr="00E740A4">
        <w:rPr>
          <w:lang w:val="fr-FR"/>
        </w:rPr>
        <w:t xml:space="preserve"> jug</w:t>
      </w:r>
      <w:r w:rsidR="006919A1">
        <w:rPr>
          <w:lang w:val="fr-FR"/>
        </w:rPr>
        <w:t>ées</w:t>
      </w:r>
      <w:r w:rsidRPr="00E740A4">
        <w:rPr>
          <w:lang w:val="fr-FR"/>
        </w:rPr>
        <w:t xml:space="preserve"> pertinentes par rapport </w:t>
      </w:r>
      <w:r w:rsidR="0005363A">
        <w:rPr>
          <w:lang w:val="fr-FR"/>
        </w:rPr>
        <w:t>au</w:t>
      </w:r>
      <w:r w:rsidRPr="00E740A4">
        <w:rPr>
          <w:lang w:val="fr-FR"/>
        </w:rPr>
        <w:t xml:space="preserve"> contexte. </w:t>
      </w:r>
      <w:r w:rsidR="0005363A">
        <w:rPr>
          <w:lang w:val="fr-FR"/>
        </w:rPr>
        <w:t>L</w:t>
      </w:r>
      <w:r w:rsidRPr="00E740A4">
        <w:rPr>
          <w:lang w:val="fr-FR"/>
        </w:rPr>
        <w:t>a raison d’être de toutes les hypothèses formulées</w:t>
      </w:r>
      <w:r w:rsidR="0005363A">
        <w:rPr>
          <w:lang w:val="fr-FR"/>
        </w:rPr>
        <w:t xml:space="preserve"> devra être justifiée</w:t>
      </w:r>
      <w:r w:rsidRPr="00E740A4">
        <w:rPr>
          <w:lang w:val="fr-FR"/>
        </w:rPr>
        <w:t>.</w:t>
      </w:r>
    </w:p>
    <w:p w14:paraId="1D44DFF2" w14:textId="7A7A9FA0" w:rsidR="00411942" w:rsidRPr="00E740A4" w:rsidRDefault="004A6B92">
      <w:pPr>
        <w:pStyle w:val="P68B1DB1-Normal2"/>
        <w:spacing w:before="120"/>
        <w:jc w:val="both"/>
        <w:rPr>
          <w:rFonts w:eastAsiaTheme="minorHAnsi"/>
          <w:szCs w:val="20"/>
          <w:lang w:val="fr-FR"/>
        </w:rPr>
      </w:pPr>
      <w:r w:rsidRPr="00E740A4">
        <w:rPr>
          <w:lang w:val="fr-FR"/>
        </w:rPr>
        <w:t xml:space="preserve">Pour la gestion des cas communautaires, </w:t>
      </w:r>
      <w:r w:rsidR="0005363A">
        <w:rPr>
          <w:lang w:val="fr-FR"/>
        </w:rPr>
        <w:t>s’</w:t>
      </w:r>
      <w:r w:rsidRPr="00E740A4">
        <w:rPr>
          <w:lang w:val="fr-FR"/>
        </w:rPr>
        <w:t>assure</w:t>
      </w:r>
      <w:r w:rsidR="0005363A">
        <w:rPr>
          <w:lang w:val="fr-FR"/>
        </w:rPr>
        <w:t>r</w:t>
      </w:r>
      <w:r w:rsidRPr="00E740A4">
        <w:rPr>
          <w:lang w:val="fr-FR"/>
        </w:rPr>
        <w:t xml:space="preserve"> que les feuilles d’analyse des </w:t>
      </w:r>
      <w:r w:rsidR="00FE16FB">
        <w:rPr>
          <w:lang w:val="fr-FR"/>
        </w:rPr>
        <w:t>écart</w:t>
      </w:r>
      <w:r w:rsidRPr="00E740A4">
        <w:rPr>
          <w:lang w:val="fr-FR"/>
        </w:rPr>
        <w:t>s en produits antipaludiques et non antipaludiques sont complémentaires.</w:t>
      </w:r>
    </w:p>
    <w:p w14:paraId="0ED8EA87" w14:textId="34557BBB" w:rsidR="00411942" w:rsidRDefault="004A6B92">
      <w:pPr>
        <w:pStyle w:val="P68B1DB1-Heading23"/>
        <w:spacing w:before="120"/>
        <w:rPr>
          <w:szCs w:val="20"/>
        </w:rPr>
      </w:pPr>
      <w:r>
        <w:lastRenderedPageBreak/>
        <w:t>Traitement</w:t>
      </w:r>
    </w:p>
    <w:p w14:paraId="019509FB" w14:textId="519A1FD5" w:rsidR="00411942" w:rsidRPr="00E740A4" w:rsidRDefault="004A6B92">
      <w:pPr>
        <w:pStyle w:val="P68B1DB1-ListParagraph4"/>
        <w:numPr>
          <w:ilvl w:val="0"/>
          <w:numId w:val="3"/>
        </w:numPr>
        <w:spacing w:before="120"/>
        <w:jc w:val="both"/>
        <w:rPr>
          <w:szCs w:val="20"/>
          <w:lang w:val="fr-FR"/>
        </w:rPr>
      </w:pPr>
      <w:r w:rsidRPr="00E740A4">
        <w:rPr>
          <w:lang w:val="fr-FR"/>
        </w:rPr>
        <w:t xml:space="preserve">L’estimation des besoins annuels en CTA repose préférablement sur les données de traitement par </w:t>
      </w:r>
      <w:r w:rsidR="006C1764">
        <w:rPr>
          <w:lang w:val="fr-FR"/>
        </w:rPr>
        <w:t xml:space="preserve">les </w:t>
      </w:r>
      <w:r w:rsidRPr="00E740A4">
        <w:rPr>
          <w:lang w:val="fr-FR"/>
        </w:rPr>
        <w:t>CTA lorsqu’elles sont disponibles, mais des estimations épidémiologiques peuvent également être utilisées, ainsi qu</w:t>
      </w:r>
      <w:r w:rsidR="000B498D">
        <w:rPr>
          <w:lang w:val="fr-FR"/>
        </w:rPr>
        <w:t>’</w:t>
      </w:r>
      <w:r w:rsidRPr="00E740A4">
        <w:rPr>
          <w:lang w:val="fr-FR"/>
        </w:rPr>
        <w:t>une combinaison des deux. Il convient d’estimer et de ventiler par secteur la contribution proportionnelle de chaque secteur en matière d’accès (à la prestation de services) : gestion publique, prise en charge communautaire des cas, et secteur privé. Cette répartition par secteur peut évoluer dans le temps – avec, par exemple, des modifications dans la recherche de traitement dans le secteur public ou privé.</w:t>
      </w:r>
    </w:p>
    <w:p w14:paraId="59AF9E82" w14:textId="09E1916B" w:rsidR="00411942" w:rsidRPr="00E740A4" w:rsidRDefault="004A6B92">
      <w:pPr>
        <w:pStyle w:val="P68B1DB1-ListParagraph4"/>
        <w:numPr>
          <w:ilvl w:val="0"/>
          <w:numId w:val="3"/>
        </w:numPr>
        <w:spacing w:before="120"/>
        <w:jc w:val="both"/>
        <w:rPr>
          <w:szCs w:val="20"/>
          <w:lang w:val="fr-FR"/>
        </w:rPr>
      </w:pPr>
      <w:r w:rsidRPr="00E740A4">
        <w:rPr>
          <w:lang w:val="fr-FR"/>
        </w:rPr>
        <w:t xml:space="preserve">La proportion de cas de paludisme devant être traités par </w:t>
      </w:r>
      <w:r w:rsidR="006C1764">
        <w:rPr>
          <w:lang w:val="fr-FR"/>
        </w:rPr>
        <w:t xml:space="preserve">les </w:t>
      </w:r>
      <w:r w:rsidRPr="00E740A4">
        <w:rPr>
          <w:lang w:val="fr-FR"/>
        </w:rPr>
        <w:t xml:space="preserve">CTA doit être alignée sur les objectifs du plan stratégique national et doit inclure les différentes cibles de couverture pour chaque secteur (par ex. établissements de santé publics ciblant 100 % des cas de paludisme, prise en charge intégrée des cas de paludisme au niveau communautaire à 100 %, et 15 % du secteur privé). Ne pas </w:t>
      </w:r>
      <w:r w:rsidR="008856F7">
        <w:rPr>
          <w:lang w:val="fr-FR"/>
        </w:rPr>
        <w:t xml:space="preserve">tenir </w:t>
      </w:r>
      <w:r w:rsidRPr="00E740A4">
        <w:rPr>
          <w:lang w:val="fr-FR"/>
        </w:rPr>
        <w:t>compte des cas de paludisme pour lesquels l</w:t>
      </w:r>
      <w:r w:rsidR="000B498D">
        <w:rPr>
          <w:lang w:val="fr-FR"/>
        </w:rPr>
        <w:t>’</w:t>
      </w:r>
      <w:r w:rsidRPr="00E740A4">
        <w:rPr>
          <w:lang w:val="fr-FR"/>
        </w:rPr>
        <w:t>accès aux soins n</w:t>
      </w:r>
      <w:r w:rsidR="000B498D">
        <w:rPr>
          <w:lang w:val="fr-FR"/>
        </w:rPr>
        <w:t>’</w:t>
      </w:r>
      <w:r w:rsidRPr="00E740A4">
        <w:rPr>
          <w:lang w:val="fr-FR"/>
        </w:rPr>
        <w:t xml:space="preserve">est pas possible et qui ne sont pas accessibles ; par exemple, si </w:t>
      </w:r>
      <w:r w:rsidR="008856F7">
        <w:rPr>
          <w:lang w:val="fr-FR"/>
        </w:rPr>
        <w:t>l’on ne dispose</w:t>
      </w:r>
      <w:r w:rsidRPr="00E740A4">
        <w:rPr>
          <w:lang w:val="fr-FR"/>
        </w:rPr>
        <w:t xml:space="preserve"> pas d</w:t>
      </w:r>
      <w:r w:rsidR="008856F7">
        <w:rPr>
          <w:lang w:val="fr-FR"/>
        </w:rPr>
        <w:t>’un</w:t>
      </w:r>
      <w:r w:rsidRPr="00E740A4">
        <w:rPr>
          <w:lang w:val="fr-FR"/>
        </w:rPr>
        <w:t xml:space="preserve"> programme ciblant le secteur privé informel, ne pas </w:t>
      </w:r>
      <w:r w:rsidR="008856F7">
        <w:rPr>
          <w:lang w:val="fr-FR"/>
        </w:rPr>
        <w:t xml:space="preserve">les inclure </w:t>
      </w:r>
      <w:r w:rsidRPr="00E740A4">
        <w:rPr>
          <w:lang w:val="fr-FR"/>
        </w:rPr>
        <w:t xml:space="preserve">dans </w:t>
      </w:r>
      <w:r w:rsidR="008856F7">
        <w:rPr>
          <w:lang w:val="fr-FR"/>
        </w:rPr>
        <w:t>la</w:t>
      </w:r>
      <w:r w:rsidRPr="00E740A4">
        <w:rPr>
          <w:lang w:val="fr-FR"/>
        </w:rPr>
        <w:t xml:space="preserve"> cible.</w:t>
      </w:r>
    </w:p>
    <w:p w14:paraId="512CB575" w14:textId="2ADF4F65" w:rsidR="00411942" w:rsidRPr="00E740A4" w:rsidRDefault="004A6B92">
      <w:pPr>
        <w:pStyle w:val="P68B1DB1-ListParagraph4"/>
        <w:numPr>
          <w:ilvl w:val="0"/>
          <w:numId w:val="3"/>
        </w:numPr>
        <w:spacing w:before="120"/>
        <w:jc w:val="both"/>
        <w:rPr>
          <w:szCs w:val="20"/>
          <w:lang w:val="fr-FR"/>
        </w:rPr>
      </w:pPr>
      <w:r w:rsidRPr="00E740A4">
        <w:rPr>
          <w:lang w:val="fr-FR"/>
        </w:rPr>
        <w:t>Multiplie</w:t>
      </w:r>
      <w:r w:rsidR="002038CE">
        <w:rPr>
          <w:lang w:val="fr-FR"/>
        </w:rPr>
        <w:t>r</w:t>
      </w:r>
      <w:r w:rsidRPr="00E740A4">
        <w:rPr>
          <w:lang w:val="fr-FR"/>
        </w:rPr>
        <w:t xml:space="preserve"> le nombre de traitements par </w:t>
      </w:r>
      <w:r w:rsidR="006C1764">
        <w:rPr>
          <w:lang w:val="fr-FR"/>
        </w:rPr>
        <w:t xml:space="preserve">les </w:t>
      </w:r>
      <w:r w:rsidRPr="00E740A4">
        <w:rPr>
          <w:lang w:val="fr-FR"/>
        </w:rPr>
        <w:t>CTA requis pour chaque secteur par la proportion de cas de paludisme dans chaque secteur.</w:t>
      </w:r>
    </w:p>
    <w:p w14:paraId="4DAC89E5" w14:textId="2EC4056E" w:rsidR="00411942" w:rsidRPr="00E740A4" w:rsidRDefault="004A6B92">
      <w:pPr>
        <w:pStyle w:val="P68B1DB1-ListParagraph4"/>
        <w:numPr>
          <w:ilvl w:val="0"/>
          <w:numId w:val="3"/>
        </w:numPr>
        <w:spacing w:before="120"/>
        <w:jc w:val="both"/>
        <w:rPr>
          <w:szCs w:val="20"/>
          <w:lang w:val="fr-FR"/>
        </w:rPr>
      </w:pPr>
      <w:r w:rsidRPr="00E740A4">
        <w:rPr>
          <w:lang w:val="fr-FR"/>
        </w:rPr>
        <w:t>Estime</w:t>
      </w:r>
      <w:r w:rsidR="002038CE">
        <w:rPr>
          <w:lang w:val="fr-FR"/>
        </w:rPr>
        <w:t>r</w:t>
      </w:r>
      <w:r w:rsidRPr="00E740A4">
        <w:rPr>
          <w:lang w:val="fr-FR"/>
        </w:rPr>
        <w:t xml:space="preserve"> le nombre total de CTA à financer, par secteur, par le biais de ressources nationales et externes, puis soust</w:t>
      </w:r>
      <w:r w:rsidR="002038CE">
        <w:rPr>
          <w:lang w:val="fr-FR"/>
        </w:rPr>
        <w:t>raire</w:t>
      </w:r>
      <w:r w:rsidRPr="00E740A4">
        <w:rPr>
          <w:lang w:val="fr-FR"/>
        </w:rPr>
        <w:t xml:space="preserve"> le nombre effectif de CTA financé</w:t>
      </w:r>
      <w:r w:rsidR="00232957">
        <w:rPr>
          <w:lang w:val="fr-FR"/>
        </w:rPr>
        <w:t>e</w:t>
      </w:r>
      <w:r w:rsidRPr="00E740A4">
        <w:rPr>
          <w:lang w:val="fr-FR"/>
        </w:rPr>
        <w:t>s de ce nombre de traitements nécessaires pour calculer les manques par secteur. Fai</w:t>
      </w:r>
      <w:r w:rsidR="002038CE">
        <w:rPr>
          <w:lang w:val="fr-FR"/>
        </w:rPr>
        <w:t>r</w:t>
      </w:r>
      <w:r w:rsidRPr="00E740A4">
        <w:rPr>
          <w:lang w:val="fr-FR"/>
        </w:rPr>
        <w:t>e ressortir le nombre de traitements par CTA à financer par le biais de l’allocation du Fonds mondial. Note</w:t>
      </w:r>
      <w:r w:rsidR="002038CE">
        <w:rPr>
          <w:lang w:val="fr-FR"/>
        </w:rPr>
        <w:t>r</w:t>
      </w:r>
      <w:r w:rsidRPr="00E740A4">
        <w:rPr>
          <w:lang w:val="fr-FR"/>
        </w:rPr>
        <w:t xml:space="preserve"> les éventuels manques et envisage</w:t>
      </w:r>
      <w:r w:rsidR="002038CE">
        <w:rPr>
          <w:lang w:val="fr-FR"/>
        </w:rPr>
        <w:t>r</w:t>
      </w:r>
      <w:r w:rsidRPr="00E740A4">
        <w:rPr>
          <w:lang w:val="fr-FR"/>
        </w:rPr>
        <w:t xml:space="preserve"> de les financer par le biais de</w:t>
      </w:r>
      <w:r w:rsidR="00001595">
        <w:rPr>
          <w:lang w:val="fr-FR"/>
        </w:rPr>
        <w:t xml:space="preserve"> la d</w:t>
      </w:r>
      <w:r w:rsidR="00001595" w:rsidRPr="00001595">
        <w:rPr>
          <w:lang w:val="fr-FR"/>
        </w:rPr>
        <w:t xml:space="preserve">emande hiérarchisée de financement au-delà de la somme </w:t>
      </w:r>
      <w:r w:rsidR="00001595">
        <w:rPr>
          <w:lang w:val="fr-FR"/>
        </w:rPr>
        <w:t>allouée a</w:t>
      </w:r>
      <w:r w:rsidRPr="00E740A4">
        <w:rPr>
          <w:lang w:val="fr-FR"/>
        </w:rPr>
        <w:t>u Fonds mondial.</w:t>
      </w:r>
    </w:p>
    <w:p w14:paraId="47E33C74" w14:textId="23AAEE63" w:rsidR="00411942" w:rsidRPr="00E740A4" w:rsidRDefault="004A6B92">
      <w:pPr>
        <w:pStyle w:val="P68B1DB1-ListParagraph4"/>
        <w:numPr>
          <w:ilvl w:val="0"/>
          <w:numId w:val="3"/>
        </w:numPr>
        <w:spacing w:before="120"/>
        <w:jc w:val="both"/>
        <w:rPr>
          <w:szCs w:val="20"/>
          <w:lang w:val="fr-FR"/>
        </w:rPr>
      </w:pPr>
      <w:r w:rsidRPr="00E740A4">
        <w:rPr>
          <w:lang w:val="fr-FR"/>
        </w:rPr>
        <w:t>Ventile</w:t>
      </w:r>
      <w:r w:rsidR="002038CE">
        <w:rPr>
          <w:lang w:val="fr-FR"/>
        </w:rPr>
        <w:t>r</w:t>
      </w:r>
      <w:r w:rsidRPr="00E740A4">
        <w:rPr>
          <w:lang w:val="fr-FR"/>
        </w:rPr>
        <w:t xml:space="preserve"> le nombre de traitements </w:t>
      </w:r>
      <w:r w:rsidR="00B14B32">
        <w:rPr>
          <w:lang w:val="fr-FR"/>
        </w:rPr>
        <w:t>CTA</w:t>
      </w:r>
      <w:r w:rsidRPr="00E740A4">
        <w:rPr>
          <w:lang w:val="fr-FR"/>
        </w:rPr>
        <w:t xml:space="preserve"> nécessaires par groupe d</w:t>
      </w:r>
      <w:r w:rsidR="000B498D">
        <w:rPr>
          <w:lang w:val="fr-FR"/>
        </w:rPr>
        <w:t>’</w:t>
      </w:r>
      <w:r w:rsidRPr="00E740A4">
        <w:rPr>
          <w:lang w:val="fr-FR"/>
        </w:rPr>
        <w:t xml:space="preserve">âge en tenant compte des exigences de conditionnement. L’écart sur les traitements </w:t>
      </w:r>
      <w:r w:rsidR="00B14B32">
        <w:rPr>
          <w:lang w:val="fr-FR"/>
        </w:rPr>
        <w:t xml:space="preserve">CTA </w:t>
      </w:r>
      <w:r w:rsidRPr="00E740A4">
        <w:rPr>
          <w:lang w:val="fr-FR"/>
        </w:rPr>
        <w:t xml:space="preserve">à la fin de la feuille de calcul représente le nombre total de TRAITEMENTS DU PALUDISME. Pour établir les manques en matière de financement, </w:t>
      </w:r>
      <w:r w:rsidR="00F85F37">
        <w:rPr>
          <w:lang w:val="fr-FR"/>
        </w:rPr>
        <w:t>il faudra</w:t>
      </w:r>
      <w:r w:rsidRPr="00E740A4">
        <w:rPr>
          <w:lang w:val="fr-FR"/>
        </w:rPr>
        <w:t xml:space="preserve"> répartir ce total requis entre les différents traitements par tranche d’âge appropriée. Par exemple, si le traitement par CTA utilisé dans le pays Y est une combinaison d’artéméther et de luméfantrine, le traitement total doit être subdivisé en fonction des quatre doses de traitement adaptées aux différentes tranches d’âge. Cette opération (division) impose de tenir compte du profil démographique du pays et de la proportion de cas dans chaque tranche d’âge. L</w:t>
      </w:r>
      <w:r w:rsidR="001D21D7">
        <w:rPr>
          <w:lang w:val="fr-FR"/>
        </w:rPr>
        <w:t>’écart</w:t>
      </w:r>
      <w:r w:rsidRPr="00E740A4">
        <w:rPr>
          <w:lang w:val="fr-FR"/>
        </w:rPr>
        <w:t xml:space="preserve"> financie</w:t>
      </w:r>
      <w:r w:rsidR="001D21D7">
        <w:rPr>
          <w:lang w:val="fr-FR"/>
        </w:rPr>
        <w:t>r</w:t>
      </w:r>
      <w:r w:rsidRPr="00E740A4">
        <w:rPr>
          <w:lang w:val="fr-FR"/>
        </w:rPr>
        <w:t xml:space="preserve"> est ensuite calculé en appliquant le tarif spécifique à chaque traitement aux besoins.</w:t>
      </w:r>
    </w:p>
    <w:p w14:paraId="6F32FA5F" w14:textId="7CE7D67A" w:rsidR="00411942" w:rsidRPr="00E740A4" w:rsidRDefault="004A6B92">
      <w:pPr>
        <w:pStyle w:val="P68B1DB1-ListParagraph4"/>
        <w:numPr>
          <w:ilvl w:val="0"/>
          <w:numId w:val="3"/>
        </w:numPr>
        <w:spacing w:before="120"/>
        <w:jc w:val="both"/>
        <w:rPr>
          <w:szCs w:val="20"/>
          <w:lang w:val="fr-FR"/>
        </w:rPr>
      </w:pPr>
      <w:r w:rsidRPr="00E740A4">
        <w:rPr>
          <w:lang w:val="fr-FR"/>
        </w:rPr>
        <w:t>Pour les pays qui déplo</w:t>
      </w:r>
      <w:r w:rsidR="00641589">
        <w:rPr>
          <w:lang w:val="fr-FR"/>
        </w:rPr>
        <w:t>i</w:t>
      </w:r>
      <w:r w:rsidRPr="00E740A4">
        <w:rPr>
          <w:lang w:val="fr-FR"/>
        </w:rPr>
        <w:t>ent plusieurs CTA, note</w:t>
      </w:r>
      <w:r w:rsidR="00F85F37">
        <w:rPr>
          <w:lang w:val="fr-FR"/>
        </w:rPr>
        <w:t>r</w:t>
      </w:r>
      <w:r w:rsidRPr="00E740A4">
        <w:rPr>
          <w:lang w:val="fr-FR"/>
        </w:rPr>
        <w:t xml:space="preserve"> la ventilation dans le tableau d’analyse des </w:t>
      </w:r>
      <w:r w:rsidR="00C72E16">
        <w:rPr>
          <w:lang w:val="fr-FR"/>
        </w:rPr>
        <w:t>écart</w:t>
      </w:r>
      <w:r w:rsidRPr="00E740A4">
        <w:rPr>
          <w:lang w:val="fr-FR"/>
        </w:rPr>
        <w:t>s. Ce calcul doit s’appuyer sur les objectifs fixés dans le plan stratégique national et issus de la stratification et de l’adaptation infranationales, et il peut viser des tranches d’âge spécifiques, tel</w:t>
      </w:r>
      <w:r w:rsidR="00A83AFF">
        <w:rPr>
          <w:lang w:val="fr-FR"/>
        </w:rPr>
        <w:t>le</w:t>
      </w:r>
      <w:r w:rsidRPr="00E740A4">
        <w:rPr>
          <w:lang w:val="fr-FR"/>
        </w:rPr>
        <w:t>s que les enfants de moins de cinq ans, ou encore les zones géographiques.</w:t>
      </w:r>
    </w:p>
    <w:p w14:paraId="3F14BAD5" w14:textId="20C41F39" w:rsidR="00411942" w:rsidRDefault="004A6B92">
      <w:pPr>
        <w:pStyle w:val="P68B1DB1-Heading23"/>
        <w:spacing w:before="120"/>
        <w:rPr>
          <w:szCs w:val="20"/>
        </w:rPr>
      </w:pPr>
      <w:proofErr w:type="spellStart"/>
      <w:r>
        <w:t>Paludisme</w:t>
      </w:r>
      <w:proofErr w:type="spellEnd"/>
      <w:r>
        <w:t xml:space="preserve"> </w:t>
      </w:r>
      <w:proofErr w:type="spellStart"/>
      <w:r w:rsidR="006C1764">
        <w:t>sévère</w:t>
      </w:r>
      <w:proofErr w:type="spellEnd"/>
    </w:p>
    <w:p w14:paraId="2D1789FA" w14:textId="42095547" w:rsidR="00411942" w:rsidRPr="00E740A4" w:rsidRDefault="004A6B92">
      <w:pPr>
        <w:pStyle w:val="P68B1DB1-ListParagraph9"/>
        <w:numPr>
          <w:ilvl w:val="0"/>
          <w:numId w:val="17"/>
        </w:numPr>
        <w:spacing w:before="120"/>
        <w:jc w:val="both"/>
        <w:rPr>
          <w:sz w:val="20"/>
          <w:szCs w:val="20"/>
          <w:lang w:val="fr-FR"/>
        </w:rPr>
      </w:pPr>
      <w:r w:rsidRPr="00E740A4">
        <w:rPr>
          <w:sz w:val="20"/>
          <w:lang w:val="fr-FR"/>
        </w:rPr>
        <w:t>Pour le nombre total de cas de paludisme sévère, utilise</w:t>
      </w:r>
      <w:r w:rsidR="00D213BF">
        <w:rPr>
          <w:sz w:val="20"/>
          <w:lang w:val="fr-FR"/>
        </w:rPr>
        <w:t>r</w:t>
      </w:r>
      <w:r w:rsidRPr="00E740A4">
        <w:rPr>
          <w:sz w:val="20"/>
          <w:lang w:val="fr-FR"/>
        </w:rPr>
        <w:t xml:space="preserve"> le nombre de cas de paludisme estimé dans l’analyse des </w:t>
      </w:r>
      <w:r w:rsidR="00C72E16">
        <w:rPr>
          <w:sz w:val="20"/>
          <w:lang w:val="fr-FR"/>
        </w:rPr>
        <w:t>écart</w:t>
      </w:r>
      <w:r w:rsidRPr="00E740A4">
        <w:rPr>
          <w:sz w:val="20"/>
          <w:lang w:val="fr-FR"/>
        </w:rPr>
        <w:t>s de</w:t>
      </w:r>
      <w:r w:rsidR="00C72E16">
        <w:rPr>
          <w:sz w:val="20"/>
          <w:lang w:val="fr-FR"/>
        </w:rPr>
        <w:t>s</w:t>
      </w:r>
      <w:r w:rsidRPr="00E740A4">
        <w:rPr>
          <w:sz w:val="20"/>
          <w:lang w:val="fr-FR"/>
        </w:rPr>
        <w:t xml:space="preserve"> traitements </w:t>
      </w:r>
      <w:r>
        <w:rPr>
          <w:sz w:val="20"/>
          <w:lang w:val="fr-FR"/>
        </w:rPr>
        <w:t>CTA</w:t>
      </w:r>
      <w:r w:rsidRPr="00E740A4">
        <w:rPr>
          <w:sz w:val="20"/>
          <w:lang w:val="fr-FR"/>
        </w:rPr>
        <w:t>. Utilise</w:t>
      </w:r>
      <w:r w:rsidR="00C91DE8">
        <w:rPr>
          <w:sz w:val="20"/>
          <w:lang w:val="fr-FR"/>
        </w:rPr>
        <w:t>r</w:t>
      </w:r>
      <w:r w:rsidRPr="00E740A4">
        <w:rPr>
          <w:sz w:val="20"/>
          <w:lang w:val="fr-FR"/>
        </w:rPr>
        <w:t xml:space="preserve"> les données locales pour définir la proportion de cas de paludisme </w:t>
      </w:r>
      <w:r w:rsidR="00352595">
        <w:rPr>
          <w:sz w:val="20"/>
          <w:lang w:val="fr-FR"/>
        </w:rPr>
        <w:t>simple</w:t>
      </w:r>
      <w:r w:rsidRPr="00E740A4">
        <w:rPr>
          <w:sz w:val="20"/>
          <w:lang w:val="fr-FR"/>
        </w:rPr>
        <w:t xml:space="preserve"> qui sont considérés comme pouvant évoluer vers un état de santé grave. Leur nombre devrait être inférieur à 5 %. Insére</w:t>
      </w:r>
      <w:r w:rsidR="00C91DE8">
        <w:rPr>
          <w:sz w:val="20"/>
          <w:lang w:val="fr-FR"/>
        </w:rPr>
        <w:t>r</w:t>
      </w:r>
      <w:r w:rsidRPr="00E740A4">
        <w:rPr>
          <w:sz w:val="20"/>
          <w:lang w:val="fr-FR"/>
        </w:rPr>
        <w:t xml:space="preserve"> le pourcentage de cas de paludisme sévère à cibler dans le plan stratégique national</w:t>
      </w:r>
      <w:r w:rsidRPr="00E740A4">
        <w:rPr>
          <w:lang w:val="fr-FR"/>
        </w:rPr>
        <w:tab/>
      </w:r>
    </w:p>
    <w:p w14:paraId="7B14F583" w14:textId="158FD2B3" w:rsidR="00411942" w:rsidRPr="00E740A4" w:rsidRDefault="004A6B92">
      <w:pPr>
        <w:pStyle w:val="P68B1DB1-ListParagraph9"/>
        <w:numPr>
          <w:ilvl w:val="0"/>
          <w:numId w:val="17"/>
        </w:numPr>
        <w:spacing w:before="120"/>
        <w:jc w:val="both"/>
        <w:rPr>
          <w:sz w:val="20"/>
          <w:szCs w:val="20"/>
          <w:lang w:val="fr-FR"/>
        </w:rPr>
      </w:pPr>
      <w:r w:rsidRPr="00E740A4">
        <w:rPr>
          <w:sz w:val="20"/>
          <w:lang w:val="fr-FR"/>
        </w:rPr>
        <w:t>Multiplie</w:t>
      </w:r>
      <w:r w:rsidR="00C91DE8">
        <w:rPr>
          <w:sz w:val="20"/>
          <w:lang w:val="fr-FR"/>
        </w:rPr>
        <w:t>r</w:t>
      </w:r>
      <w:r w:rsidRPr="00E740A4">
        <w:rPr>
          <w:sz w:val="20"/>
          <w:lang w:val="fr-FR"/>
        </w:rPr>
        <w:t xml:space="preserve"> le nombre total de cas </w:t>
      </w:r>
      <w:r w:rsidR="00352595">
        <w:rPr>
          <w:sz w:val="20"/>
          <w:lang w:val="fr-FR"/>
        </w:rPr>
        <w:t>de paludisme sévère</w:t>
      </w:r>
      <w:r w:rsidR="00352595" w:rsidRPr="00E740A4">
        <w:rPr>
          <w:sz w:val="20"/>
          <w:lang w:val="fr-FR"/>
        </w:rPr>
        <w:t xml:space="preserve"> </w:t>
      </w:r>
      <w:r w:rsidRPr="00E740A4">
        <w:rPr>
          <w:sz w:val="20"/>
          <w:lang w:val="fr-FR"/>
        </w:rPr>
        <w:t>par la couverture cible dans le plan stratégique national</w:t>
      </w:r>
    </w:p>
    <w:p w14:paraId="3477E08C" w14:textId="4992ED46" w:rsidR="00411942" w:rsidRPr="00E740A4" w:rsidRDefault="004A6B92">
      <w:pPr>
        <w:pStyle w:val="P68B1DB1-ListParagraph9"/>
        <w:numPr>
          <w:ilvl w:val="0"/>
          <w:numId w:val="17"/>
        </w:numPr>
        <w:spacing w:before="120"/>
        <w:jc w:val="both"/>
        <w:rPr>
          <w:sz w:val="20"/>
          <w:szCs w:val="20"/>
          <w:lang w:val="fr-FR"/>
        </w:rPr>
      </w:pPr>
      <w:r w:rsidRPr="00E740A4">
        <w:rPr>
          <w:sz w:val="20"/>
          <w:lang w:val="fr-FR"/>
        </w:rPr>
        <w:t>Proportion de cas de paludisme sévère gérés (traitement avant orientation, par exemple, avec de l</w:t>
      </w:r>
      <w:r w:rsidR="000B498D">
        <w:rPr>
          <w:sz w:val="20"/>
          <w:lang w:val="fr-FR"/>
        </w:rPr>
        <w:t>’</w:t>
      </w:r>
      <w:r w:rsidRPr="00E740A4">
        <w:rPr>
          <w:sz w:val="20"/>
          <w:lang w:val="fr-FR"/>
        </w:rPr>
        <w:t>artésunate par voie rectale) par le biais de la gestion des cas au niveau communautaire et/ou des soins de santé primaires. Multiplie</w:t>
      </w:r>
      <w:r w:rsidR="00C91DE8">
        <w:rPr>
          <w:sz w:val="20"/>
          <w:lang w:val="fr-FR"/>
        </w:rPr>
        <w:t>r</w:t>
      </w:r>
      <w:r w:rsidRPr="00E740A4">
        <w:rPr>
          <w:sz w:val="20"/>
          <w:lang w:val="fr-FR"/>
        </w:rPr>
        <w:t xml:space="preserve"> la proportion de cas de paludisme sévère gérés (traitement avant orientation, par ex. avec de l</w:t>
      </w:r>
      <w:r w:rsidR="000B498D">
        <w:rPr>
          <w:sz w:val="20"/>
          <w:lang w:val="fr-FR"/>
        </w:rPr>
        <w:t>’</w:t>
      </w:r>
      <w:r w:rsidRPr="00E740A4">
        <w:rPr>
          <w:sz w:val="20"/>
          <w:lang w:val="fr-FR"/>
        </w:rPr>
        <w:t xml:space="preserve">artésunate par voie rectale) par le biais de la gestion des cas communautaires et/ou du niveau de soins de santé primaires par le nombre total de cas </w:t>
      </w:r>
      <w:r w:rsidR="00352595">
        <w:rPr>
          <w:sz w:val="20"/>
          <w:lang w:val="fr-FR"/>
        </w:rPr>
        <w:t xml:space="preserve">de paludisme </w:t>
      </w:r>
      <w:r w:rsidRPr="00E740A4">
        <w:rPr>
          <w:sz w:val="20"/>
          <w:lang w:val="fr-FR"/>
        </w:rPr>
        <w:t>grave</w:t>
      </w:r>
      <w:r w:rsidRPr="00E740A4">
        <w:rPr>
          <w:lang w:val="fr-FR"/>
        </w:rPr>
        <w:tab/>
      </w:r>
    </w:p>
    <w:p w14:paraId="20E6608F" w14:textId="24A584E0" w:rsidR="00411942" w:rsidRPr="00E740A4" w:rsidRDefault="004A6B92">
      <w:pPr>
        <w:pStyle w:val="P68B1DB1-ListParagraph4"/>
        <w:numPr>
          <w:ilvl w:val="0"/>
          <w:numId w:val="17"/>
        </w:numPr>
        <w:spacing w:before="120"/>
        <w:jc w:val="both"/>
        <w:rPr>
          <w:szCs w:val="20"/>
          <w:lang w:val="fr-FR"/>
        </w:rPr>
      </w:pPr>
      <w:r w:rsidRPr="00E740A4">
        <w:rPr>
          <w:lang w:val="fr-FR"/>
        </w:rPr>
        <w:t>Insére</w:t>
      </w:r>
      <w:r w:rsidR="00C91DE8">
        <w:rPr>
          <w:lang w:val="fr-FR"/>
        </w:rPr>
        <w:t>r</w:t>
      </w:r>
      <w:r w:rsidRPr="00E740A4">
        <w:rPr>
          <w:lang w:val="fr-FR"/>
        </w:rPr>
        <w:t xml:space="preserve"> la proportion de cas de paludisme sévère gérés au niveau des établissements de santé. Multiplie</w:t>
      </w:r>
      <w:r w:rsidR="00D213BF">
        <w:rPr>
          <w:lang w:val="fr-FR"/>
        </w:rPr>
        <w:t>r</w:t>
      </w:r>
      <w:r w:rsidRPr="00E740A4">
        <w:rPr>
          <w:lang w:val="fr-FR"/>
        </w:rPr>
        <w:t xml:space="preserve"> la proportion de cas de paludisme sévère gérés au niveau des établissements de santé par le nombre total de cas de paludisme sévère</w:t>
      </w:r>
    </w:p>
    <w:p w14:paraId="7E724E6A" w14:textId="53CB58C8" w:rsidR="00411942" w:rsidRPr="00E740A4" w:rsidRDefault="004A6B92">
      <w:pPr>
        <w:pStyle w:val="P68B1DB1-ListParagraph9"/>
        <w:numPr>
          <w:ilvl w:val="0"/>
          <w:numId w:val="17"/>
        </w:numPr>
        <w:spacing w:before="120"/>
        <w:jc w:val="both"/>
        <w:rPr>
          <w:sz w:val="20"/>
          <w:szCs w:val="20"/>
          <w:lang w:val="fr-FR"/>
        </w:rPr>
      </w:pPr>
      <w:r w:rsidRPr="00E740A4">
        <w:rPr>
          <w:sz w:val="20"/>
          <w:lang w:val="fr-FR"/>
        </w:rPr>
        <w:lastRenderedPageBreak/>
        <w:t>Inclu</w:t>
      </w:r>
      <w:r w:rsidR="00D213BF">
        <w:rPr>
          <w:sz w:val="20"/>
          <w:lang w:val="fr-FR"/>
        </w:rPr>
        <w:t>r</w:t>
      </w:r>
      <w:r w:rsidRPr="00E740A4">
        <w:rPr>
          <w:sz w:val="20"/>
          <w:lang w:val="fr-FR"/>
        </w:rPr>
        <w:t>e les éléments déjà financés par le biais de ressources nationales et externes et affecte</w:t>
      </w:r>
      <w:r w:rsidR="00D213BF">
        <w:rPr>
          <w:sz w:val="20"/>
          <w:lang w:val="fr-FR"/>
        </w:rPr>
        <w:t>r</w:t>
      </w:r>
      <w:r w:rsidRPr="00E740A4">
        <w:rPr>
          <w:sz w:val="20"/>
          <w:lang w:val="fr-FR"/>
        </w:rPr>
        <w:t xml:space="preserve"> les </w:t>
      </w:r>
      <w:r w:rsidR="003A10D8">
        <w:rPr>
          <w:sz w:val="20"/>
          <w:lang w:val="fr-FR"/>
        </w:rPr>
        <w:t>écart</w:t>
      </w:r>
      <w:r w:rsidRPr="00E740A4">
        <w:rPr>
          <w:sz w:val="20"/>
          <w:lang w:val="fr-FR"/>
        </w:rPr>
        <w:t>s à l’allocation du Fonds mondial.</w:t>
      </w:r>
      <w:r w:rsidRPr="00E740A4">
        <w:rPr>
          <w:lang w:val="fr-FR"/>
        </w:rPr>
        <w:tab/>
      </w:r>
    </w:p>
    <w:p w14:paraId="02374095" w14:textId="77777777" w:rsidR="00411942" w:rsidRPr="00E740A4" w:rsidRDefault="004A6B92">
      <w:pPr>
        <w:pStyle w:val="P68B1DB1-ListParagraph9"/>
        <w:spacing w:before="120"/>
        <w:ind w:left="360"/>
        <w:jc w:val="both"/>
        <w:rPr>
          <w:sz w:val="20"/>
          <w:szCs w:val="20"/>
          <w:lang w:val="fr-FR"/>
        </w:rPr>
      </w:pPr>
      <w:r w:rsidRPr="00E740A4">
        <w:rPr>
          <w:lang w:val="fr-FR"/>
        </w:rPr>
        <w:tab/>
      </w:r>
    </w:p>
    <w:p w14:paraId="41BB2C68" w14:textId="0D63A39F" w:rsidR="00411942" w:rsidRPr="00E740A4" w:rsidRDefault="004A6B92">
      <w:pPr>
        <w:pStyle w:val="P68B1DB1-ListParagraph9"/>
        <w:spacing w:before="120"/>
        <w:ind w:left="360"/>
        <w:jc w:val="both"/>
        <w:rPr>
          <w:sz w:val="20"/>
          <w:szCs w:val="20"/>
          <w:lang w:val="fr-FR"/>
        </w:rPr>
      </w:pPr>
      <w:r w:rsidRPr="00E740A4">
        <w:rPr>
          <w:lang w:val="fr-FR"/>
        </w:rPr>
        <w:tab/>
      </w:r>
    </w:p>
    <w:p w14:paraId="11BBEE33" w14:textId="49BEDD66" w:rsidR="00411942" w:rsidRDefault="004A6B92">
      <w:pPr>
        <w:pStyle w:val="P68B1DB1-Heading23"/>
        <w:spacing w:before="120"/>
        <w:rPr>
          <w:szCs w:val="20"/>
        </w:rPr>
      </w:pPr>
      <w:r>
        <w:t>Tests diagnostiques</w:t>
      </w:r>
    </w:p>
    <w:p w14:paraId="58F0AF7D" w14:textId="75B49F70" w:rsidR="00411942" w:rsidRPr="00E740A4" w:rsidRDefault="004A6B92">
      <w:pPr>
        <w:pStyle w:val="P68B1DB1-ListParagraph4"/>
        <w:numPr>
          <w:ilvl w:val="0"/>
          <w:numId w:val="7"/>
        </w:numPr>
        <w:spacing w:before="120"/>
        <w:jc w:val="both"/>
        <w:rPr>
          <w:szCs w:val="20"/>
          <w:lang w:val="fr-FR"/>
        </w:rPr>
      </w:pPr>
      <w:r w:rsidRPr="00E740A4">
        <w:rPr>
          <w:lang w:val="fr-FR"/>
        </w:rPr>
        <w:t>Insére</w:t>
      </w:r>
      <w:r w:rsidR="00D213BF">
        <w:rPr>
          <w:lang w:val="fr-FR"/>
        </w:rPr>
        <w:t>r</w:t>
      </w:r>
      <w:r w:rsidRPr="00E740A4">
        <w:rPr>
          <w:lang w:val="fr-FR"/>
        </w:rPr>
        <w:t xml:space="preserve"> chaque année le nombre de cas de paludisme suspects en vous basant sur des estimations épidémiologiques et</w:t>
      </w:r>
      <w:r w:rsidR="00201318">
        <w:rPr>
          <w:lang w:val="fr-FR"/>
        </w:rPr>
        <w:t>/ou</w:t>
      </w:r>
      <w:r w:rsidRPr="00E740A4">
        <w:rPr>
          <w:lang w:val="fr-FR"/>
        </w:rPr>
        <w:t xml:space="preserve"> des données de consommation, puis extrapole</w:t>
      </w:r>
      <w:r w:rsidR="00D213BF">
        <w:rPr>
          <w:lang w:val="fr-FR"/>
        </w:rPr>
        <w:t>r</w:t>
      </w:r>
      <w:r w:rsidRPr="00E740A4">
        <w:rPr>
          <w:lang w:val="fr-FR"/>
        </w:rPr>
        <w:t xml:space="preserve"> pour tenir compte de l’augmentation de la population. Calcule</w:t>
      </w:r>
      <w:r w:rsidR="00CE27B6">
        <w:rPr>
          <w:lang w:val="fr-FR"/>
        </w:rPr>
        <w:t>r</w:t>
      </w:r>
      <w:r w:rsidRPr="00E740A4">
        <w:rPr>
          <w:lang w:val="fr-FR"/>
        </w:rPr>
        <w:t xml:space="preserve"> le nombre total de TDR et de tests microscopiques requis chaque année.</w:t>
      </w:r>
    </w:p>
    <w:p w14:paraId="7D7EA659" w14:textId="657F20CD" w:rsidR="00411942" w:rsidRPr="00E740A4" w:rsidRDefault="004A6B92">
      <w:pPr>
        <w:pStyle w:val="P68B1DB1-ListParagraph4"/>
        <w:numPr>
          <w:ilvl w:val="0"/>
          <w:numId w:val="7"/>
        </w:numPr>
        <w:spacing w:before="120"/>
        <w:jc w:val="both"/>
        <w:rPr>
          <w:szCs w:val="20"/>
          <w:lang w:val="fr-FR"/>
        </w:rPr>
      </w:pPr>
      <w:r w:rsidRPr="00E740A4">
        <w:rPr>
          <w:lang w:val="fr-FR"/>
        </w:rPr>
        <w:t>Ten</w:t>
      </w:r>
      <w:r w:rsidR="00CE27B6">
        <w:rPr>
          <w:lang w:val="fr-FR"/>
        </w:rPr>
        <w:t>ir</w:t>
      </w:r>
      <w:r w:rsidRPr="00E740A4">
        <w:rPr>
          <w:lang w:val="fr-FR"/>
        </w:rPr>
        <w:t xml:space="preserve"> compte des cibles nationales de couverture en matière de diagnostic, établies à partir des cibles du plan stratégique national. Veille</w:t>
      </w:r>
      <w:r w:rsidR="00CE27B6">
        <w:rPr>
          <w:lang w:val="fr-FR"/>
        </w:rPr>
        <w:t>r</w:t>
      </w:r>
      <w:r w:rsidRPr="00E740A4">
        <w:rPr>
          <w:lang w:val="fr-FR"/>
        </w:rPr>
        <w:t xml:space="preserve"> à tenir compte des différentes couvertures de diagnostic par secteur, par exemple en notant le pourcentage de l’accès aux soins dans les établissements de santé publics, à l’échelle communautaire ou auprès du secteur privé. La couverture diagnostique à l’échelle publique, privée et communautaire devra ensuite être incluse.</w:t>
      </w:r>
    </w:p>
    <w:p w14:paraId="23E96266" w14:textId="0FCD8F91" w:rsidR="00411942" w:rsidRPr="00E740A4" w:rsidRDefault="004A6B92">
      <w:pPr>
        <w:pStyle w:val="P68B1DB1-ListParagraph4"/>
        <w:numPr>
          <w:ilvl w:val="0"/>
          <w:numId w:val="7"/>
        </w:numPr>
        <w:spacing w:before="120"/>
        <w:jc w:val="both"/>
        <w:rPr>
          <w:szCs w:val="20"/>
          <w:lang w:val="fr-FR"/>
        </w:rPr>
      </w:pPr>
      <w:r w:rsidRPr="00E740A4">
        <w:rPr>
          <w:lang w:val="fr-FR"/>
        </w:rPr>
        <w:t>Le nombre de TDR et de lames de microscopie nécessaires est calculé en prenant en compte les besoins globaux, les objectifs nationaux et les diminutions résultant de la lutte antivectorielle, ainsi que la proportion relative attribuée aux tests microscopiques ou aux TDR.</w:t>
      </w:r>
    </w:p>
    <w:p w14:paraId="4B70A7FD" w14:textId="5E1A0C72" w:rsidR="00411942" w:rsidRPr="00E740A4" w:rsidRDefault="004A6B92">
      <w:pPr>
        <w:pStyle w:val="P68B1DB1-ListParagraph9"/>
        <w:numPr>
          <w:ilvl w:val="0"/>
          <w:numId w:val="7"/>
        </w:numPr>
        <w:spacing w:before="120"/>
        <w:jc w:val="both"/>
        <w:rPr>
          <w:sz w:val="20"/>
          <w:szCs w:val="20"/>
          <w:lang w:val="fr-FR"/>
        </w:rPr>
      </w:pPr>
      <w:r w:rsidRPr="00E740A4">
        <w:rPr>
          <w:sz w:val="20"/>
          <w:lang w:val="fr-FR"/>
        </w:rPr>
        <w:t>Calcule</w:t>
      </w:r>
      <w:r w:rsidR="00CE27B6">
        <w:rPr>
          <w:sz w:val="20"/>
          <w:lang w:val="fr-FR"/>
        </w:rPr>
        <w:t>r</w:t>
      </w:r>
      <w:r w:rsidRPr="00E740A4">
        <w:rPr>
          <w:sz w:val="20"/>
          <w:lang w:val="fr-FR"/>
        </w:rPr>
        <w:t xml:space="preserve"> le nombre de TDR/tests microscopiques déjà financés ou disponibles par secteur au cours de la période visée.</w:t>
      </w:r>
      <w:r w:rsidRPr="00E740A4">
        <w:rPr>
          <w:lang w:val="fr-FR"/>
        </w:rPr>
        <w:tab/>
      </w:r>
    </w:p>
    <w:p w14:paraId="3BE972F2" w14:textId="55D09F99" w:rsidR="00411942" w:rsidRPr="00E740A4" w:rsidRDefault="004A6B92">
      <w:pPr>
        <w:pStyle w:val="P68B1DB1-ListParagraph4"/>
        <w:numPr>
          <w:ilvl w:val="0"/>
          <w:numId w:val="7"/>
        </w:numPr>
        <w:spacing w:before="120"/>
        <w:jc w:val="both"/>
        <w:rPr>
          <w:szCs w:val="20"/>
          <w:lang w:val="fr-FR"/>
        </w:rPr>
      </w:pPr>
      <w:r w:rsidRPr="00E740A4">
        <w:rPr>
          <w:lang w:val="fr-FR"/>
        </w:rPr>
        <w:t>Pour calculer l</w:t>
      </w:r>
      <w:r w:rsidR="00890266">
        <w:rPr>
          <w:lang w:val="fr-FR"/>
        </w:rPr>
        <w:t>’écart</w:t>
      </w:r>
      <w:r w:rsidRPr="00E740A4">
        <w:rPr>
          <w:lang w:val="fr-FR"/>
        </w:rPr>
        <w:t xml:space="preserve"> par secteur, soustra</w:t>
      </w:r>
      <w:r w:rsidR="00CE27B6">
        <w:rPr>
          <w:lang w:val="fr-FR"/>
        </w:rPr>
        <w:t>ire</w:t>
      </w:r>
      <w:r w:rsidRPr="00E740A4">
        <w:rPr>
          <w:lang w:val="fr-FR"/>
        </w:rPr>
        <w:t xml:space="preserve"> le nombre de TDR/tests microscopiques financés du nombre total de tests (microscopie/TDR) requis.</w:t>
      </w:r>
    </w:p>
    <w:p w14:paraId="512C387F" w14:textId="51BB63FB" w:rsidR="00411942" w:rsidRPr="00E740A4" w:rsidRDefault="00E2484E">
      <w:pPr>
        <w:pStyle w:val="P68B1DB1-Heading23"/>
        <w:spacing w:before="120"/>
        <w:rPr>
          <w:szCs w:val="20"/>
          <w:lang w:val="fr-FR"/>
        </w:rPr>
      </w:pPr>
      <w:r>
        <w:rPr>
          <w:lang w:val="fr-FR"/>
        </w:rPr>
        <w:t xml:space="preserve">Agents </w:t>
      </w:r>
      <w:r w:rsidR="004A6B92" w:rsidRPr="00E740A4">
        <w:rPr>
          <w:lang w:val="fr-FR"/>
        </w:rPr>
        <w:t>de santé communautaires et produits non paludiques pour la prise en charge communautaire intégrée des cas de paludisme</w:t>
      </w:r>
    </w:p>
    <w:p w14:paraId="4BD1DB09" w14:textId="1CF77CB6" w:rsidR="00411942" w:rsidRPr="00E740A4" w:rsidRDefault="004A6B92">
      <w:pPr>
        <w:pStyle w:val="pf0"/>
        <w:spacing w:before="0" w:beforeAutospacing="0" w:after="0" w:afterAutospacing="0"/>
        <w:rPr>
          <w:rFonts w:ascii="Arial" w:hAnsi="Arial" w:cs="Arial"/>
          <w:sz w:val="20"/>
          <w:szCs w:val="20"/>
          <w:lang w:val="fr-FR"/>
        </w:rPr>
      </w:pPr>
      <w:r w:rsidRPr="00E740A4">
        <w:rPr>
          <w:rStyle w:val="cf01"/>
          <w:lang w:val="fr-FR"/>
        </w:rPr>
        <w:t xml:space="preserve">Les tableaux des </w:t>
      </w:r>
      <w:r w:rsidR="00E2484E">
        <w:rPr>
          <w:rStyle w:val="cf01"/>
          <w:lang w:val="fr-FR"/>
        </w:rPr>
        <w:t xml:space="preserve">Agents </w:t>
      </w:r>
      <w:r w:rsidRPr="00E740A4">
        <w:rPr>
          <w:rStyle w:val="cf01"/>
          <w:lang w:val="fr-FR"/>
        </w:rPr>
        <w:t xml:space="preserve">de santé communautaires du Fonds mondial sont inclus dans le document d’analyse des </w:t>
      </w:r>
      <w:r w:rsidR="00890266">
        <w:rPr>
          <w:rStyle w:val="cf01"/>
          <w:lang w:val="fr-FR"/>
        </w:rPr>
        <w:t>écart</w:t>
      </w:r>
      <w:r w:rsidRPr="00E740A4">
        <w:rPr>
          <w:rStyle w:val="cf01"/>
          <w:lang w:val="fr-FR"/>
        </w:rPr>
        <w:t xml:space="preserve">s – consulter la note d’information sur les systèmes résistants et pérennes pour la santé (SRPS) du Fonds mondial pour obtenir des instructions. </w:t>
      </w:r>
      <w:hyperlink r:id="rId15" w:history="1">
        <w:r w:rsidRPr="00E740A4">
          <w:rPr>
            <w:rStyle w:val="cf01"/>
            <w:color w:val="0000FF"/>
            <w:u w:val="single"/>
            <w:lang w:val="fr-FR"/>
          </w:rPr>
          <w:t>https://www.theglobalfund.org/media/4759/core_resilientsustainablesystemsforhealth_infonote_en.pdf</w:t>
        </w:r>
      </w:hyperlink>
    </w:p>
    <w:p w14:paraId="30108C1A" w14:textId="77777777" w:rsidR="00411942" w:rsidRPr="00E740A4" w:rsidRDefault="00411942">
      <w:pPr>
        <w:spacing w:before="120"/>
        <w:jc w:val="both"/>
        <w:rPr>
          <w:rFonts w:ascii="Arial" w:hAnsi="Arial" w:cs="Arial"/>
          <w:sz w:val="20"/>
          <w:szCs w:val="20"/>
          <w:lang w:val="fr-FR"/>
        </w:rPr>
      </w:pPr>
    </w:p>
    <w:p w14:paraId="2750BCA5" w14:textId="77777777" w:rsidR="00411942" w:rsidRPr="00E740A4" w:rsidRDefault="004A6B92">
      <w:pPr>
        <w:pStyle w:val="P68B1DB1-Heading23"/>
        <w:spacing w:before="120"/>
        <w:rPr>
          <w:szCs w:val="20"/>
          <w:lang w:val="fr-FR"/>
        </w:rPr>
      </w:pPr>
      <w:r w:rsidRPr="00E740A4">
        <w:rPr>
          <w:lang w:val="fr-FR"/>
        </w:rPr>
        <w:t>Notes d’orientation spécifiques pour la chimiothérapie préventive</w:t>
      </w:r>
    </w:p>
    <w:p w14:paraId="5F61CE78" w14:textId="77777777" w:rsidR="00411942" w:rsidRPr="00E740A4" w:rsidRDefault="004A6B92">
      <w:pPr>
        <w:pStyle w:val="P68B1DB1-Heading23"/>
        <w:spacing w:before="120"/>
        <w:rPr>
          <w:szCs w:val="20"/>
          <w:lang w:val="fr-FR"/>
        </w:rPr>
      </w:pPr>
      <w:r w:rsidRPr="00E740A4">
        <w:rPr>
          <w:lang w:val="fr-FR"/>
        </w:rPr>
        <w:t>Chimioprophylaxie saisonnière du paludisme (CPS)</w:t>
      </w:r>
    </w:p>
    <w:p w14:paraId="3D123E3E" w14:textId="5D781481" w:rsidR="00411942" w:rsidRPr="00E740A4" w:rsidRDefault="004A6B92">
      <w:pPr>
        <w:pStyle w:val="P68B1DB1-Default7"/>
        <w:spacing w:before="120"/>
        <w:jc w:val="both"/>
        <w:rPr>
          <w:szCs w:val="20"/>
          <w:lang w:val="fr-FR"/>
        </w:rPr>
      </w:pPr>
      <w:r w:rsidRPr="00E740A4">
        <w:rPr>
          <w:lang w:val="fr-FR"/>
        </w:rPr>
        <w:t>Dans les zones de transmission saisonnière, les enfants appartenant à des tranches d’âge à haut risque de paludisme sévère doivent recevoir des médicaments antipaludiques pendant les périodes de pointe de transmission du paludisme afin que la charge de la maladie soit réduite. La possibilité de se faire traiter par la chimioprévention saisonnière du paludisme (CPS) est définie par la saisonnalité de la transmission du paludisme et des tranches d’âge exposées à un risque de paludisme grave. Les seuils pour l</w:t>
      </w:r>
      <w:r w:rsidR="000B498D">
        <w:rPr>
          <w:lang w:val="fr-FR"/>
        </w:rPr>
        <w:t>’</w:t>
      </w:r>
      <w:r w:rsidRPr="00E740A4">
        <w:rPr>
          <w:lang w:val="fr-FR"/>
        </w:rPr>
        <w:t>évaluation de ces critères changent au fil du temps et de la localisation. Les programmes de lutte contre le paludisme doivent évaluer l’adéquation de</w:t>
      </w:r>
      <w:r w:rsidR="000F6D5F">
        <w:rPr>
          <w:lang w:val="fr-FR"/>
        </w:rPr>
        <w:t xml:space="preserve"> la</w:t>
      </w:r>
      <w:r w:rsidRPr="00E740A4">
        <w:rPr>
          <w:lang w:val="fr-FR"/>
        </w:rPr>
        <w:t xml:space="preserve"> CPS en fonction de l’épidémiologie locale du paludisme et du financement disponible. La valeur ajoutée d’une intervention saisonnière ciblée est susceptible d’être plus élevée lorsque la transmission est très fortement saisonnière. Les cycles mensuels de sulfadoxine-pyriméthamine et d’amodiaquine (SP+AQ) ont été largement utilisés pour la CPS chez les enfants africains de moins de 5 ans et sont efficaces, sûrs, bien tolérés, disponibles et peu coûteux</w:t>
      </w:r>
    </w:p>
    <w:p w14:paraId="024FDAA0" w14:textId="6896A253" w:rsidR="00411942" w:rsidRPr="00E740A4" w:rsidRDefault="004A6B92">
      <w:pPr>
        <w:pStyle w:val="P68B1DB1-Default7"/>
        <w:spacing w:before="120"/>
        <w:jc w:val="both"/>
        <w:rPr>
          <w:szCs w:val="20"/>
          <w:lang w:val="fr-FR"/>
        </w:rPr>
      </w:pPr>
      <w:r w:rsidRPr="00E740A4">
        <w:rPr>
          <w:b/>
          <w:lang w:val="fr-FR"/>
        </w:rPr>
        <w:t>Tranches d’âge :</w:t>
      </w:r>
      <w:r w:rsidRPr="00E740A4">
        <w:rPr>
          <w:lang w:val="fr-FR"/>
        </w:rPr>
        <w:t xml:space="preserve"> la plupart des études de recherche ont évalué la CPS chez les enfants de 3 à 59 mois. La CPS a également permis de réduire l’incidence du paludisme clinique chez les enfants de moins de 10 ans. La tranche d’âge ciblée pour la CPS doit être documentée par le profil d’âge local des admissions sévères du paludisme. L</w:t>
      </w:r>
      <w:r w:rsidR="000B498D">
        <w:rPr>
          <w:lang w:val="fr-FR"/>
        </w:rPr>
        <w:t>’</w:t>
      </w:r>
      <w:r w:rsidRPr="00E740A4">
        <w:rPr>
          <w:lang w:val="fr-FR"/>
        </w:rPr>
        <w:t>efficacité de la CPS en termes de coûts deviendra moins favorable à mesure que les programmes sont étendus à des tranches d’âge à faible risque de maladie grave et de zones de transmission du paludisme plus faibles.</w:t>
      </w:r>
    </w:p>
    <w:p w14:paraId="4C82D76F" w14:textId="62B77027" w:rsidR="00411942" w:rsidRPr="00E740A4" w:rsidRDefault="004A6B92">
      <w:pPr>
        <w:pStyle w:val="P68B1DB1-Default7"/>
        <w:spacing w:before="120"/>
        <w:jc w:val="both"/>
        <w:rPr>
          <w:szCs w:val="20"/>
          <w:lang w:val="fr-FR"/>
        </w:rPr>
      </w:pPr>
      <w:r w:rsidRPr="00E740A4">
        <w:rPr>
          <w:b/>
          <w:lang w:val="fr-FR"/>
        </w:rPr>
        <w:t>Posologie :</w:t>
      </w:r>
      <w:r w:rsidRPr="00E740A4">
        <w:rPr>
          <w:lang w:val="fr-FR"/>
        </w:rPr>
        <w:t xml:space="preserve"> les enfants des tranches d’âge à risque accru de maladie grave doivent recevoir un traitement complet d</w:t>
      </w:r>
      <w:r w:rsidR="000B498D">
        <w:rPr>
          <w:lang w:val="fr-FR"/>
        </w:rPr>
        <w:t>’</w:t>
      </w:r>
      <w:r w:rsidRPr="00E740A4">
        <w:rPr>
          <w:lang w:val="fr-FR"/>
        </w:rPr>
        <w:t xml:space="preserve">antipaludiques à la dose recommandée de leur traitement en tant que CPS. La dose de </w:t>
      </w:r>
      <w:r w:rsidRPr="00E740A4">
        <w:rPr>
          <w:lang w:val="fr-FR"/>
        </w:rPr>
        <w:lastRenderedPageBreak/>
        <w:t xml:space="preserve">médicament doit être déterminée par le poids de l’enfant dans la mesure du possible, </w:t>
      </w:r>
      <w:r w:rsidR="000F6D5F">
        <w:rPr>
          <w:lang w:val="fr-FR"/>
        </w:rPr>
        <w:t>et prendre en considération</w:t>
      </w:r>
      <w:r w:rsidRPr="00E740A4">
        <w:rPr>
          <w:lang w:val="fr-FR"/>
        </w:rPr>
        <w:t xml:space="preserve"> l’âge uniquement dans les cas où le poids de l’enfant est inconnu.</w:t>
      </w:r>
    </w:p>
    <w:p w14:paraId="528F96B7" w14:textId="32567976" w:rsidR="00411942" w:rsidRPr="00E740A4" w:rsidRDefault="004A6B92">
      <w:pPr>
        <w:pStyle w:val="P68B1DB1-Default7"/>
        <w:spacing w:before="120"/>
        <w:jc w:val="both"/>
        <w:rPr>
          <w:szCs w:val="20"/>
          <w:lang w:val="fr-FR"/>
        </w:rPr>
      </w:pPr>
      <w:r w:rsidRPr="00E740A4">
        <w:rPr>
          <w:b/>
          <w:lang w:val="fr-FR"/>
        </w:rPr>
        <w:t>Fréquence :</w:t>
      </w:r>
      <w:r w:rsidRPr="00E740A4">
        <w:rPr>
          <w:lang w:val="fr-FR"/>
        </w:rPr>
        <w:t xml:space="preserve"> le nombre de cycles doit être documenté par la durée de la saison de transmission élevée et basé sur l’épidémiologie locale du paludisme et la durée de l’efficacité préventive de la combinaison de médicaments sélectionnée. La CPS doit être </w:t>
      </w:r>
      <w:r w:rsidR="00136166">
        <w:rPr>
          <w:lang w:val="fr-FR"/>
        </w:rPr>
        <w:t>implémentée</w:t>
      </w:r>
      <w:r w:rsidR="00136166" w:rsidRPr="00E740A4">
        <w:rPr>
          <w:lang w:val="fr-FR"/>
        </w:rPr>
        <w:t xml:space="preserve"> </w:t>
      </w:r>
      <w:r w:rsidRPr="00E740A4">
        <w:rPr>
          <w:lang w:val="fr-FR"/>
        </w:rPr>
        <w:t>pour protéger les enfants pendant toute la saison de transmission élevée. Les données probantes courantes étayent l’administration mensuelle de la CPS pendant 3 à 4 cycles dans des contextes de transmission plus courts, et jusqu’à six cycles ont été évalués dans des contextes où les saisons de transmission sont plus longues</w:t>
      </w:r>
    </w:p>
    <w:p w14:paraId="6995CFB5" w14:textId="1F987239" w:rsidR="00411942" w:rsidRPr="00E740A4" w:rsidRDefault="00136166">
      <w:pPr>
        <w:pStyle w:val="P68B1DB1-Default7"/>
        <w:spacing w:before="120"/>
        <w:jc w:val="both"/>
        <w:rPr>
          <w:szCs w:val="20"/>
          <w:lang w:val="fr-FR"/>
        </w:rPr>
      </w:pPr>
      <w:r>
        <w:rPr>
          <w:b/>
          <w:lang w:val="fr-FR"/>
        </w:rPr>
        <w:t>Administration</w:t>
      </w:r>
      <w:r w:rsidRPr="00E740A4">
        <w:rPr>
          <w:b/>
          <w:lang w:val="fr-FR"/>
        </w:rPr>
        <w:t xml:space="preserve"> </w:t>
      </w:r>
      <w:r w:rsidR="004A6B92" w:rsidRPr="00E740A4">
        <w:rPr>
          <w:b/>
          <w:lang w:val="fr-FR"/>
        </w:rPr>
        <w:t>:</w:t>
      </w:r>
      <w:r w:rsidR="004A6B92" w:rsidRPr="00E740A4">
        <w:rPr>
          <w:lang w:val="fr-FR"/>
        </w:rPr>
        <w:t xml:space="preserve"> la CPS peut être fournie par le biais d’une </w:t>
      </w:r>
      <w:r>
        <w:rPr>
          <w:lang w:val="fr-FR"/>
        </w:rPr>
        <w:t>administration</w:t>
      </w:r>
      <w:r w:rsidRPr="00E740A4">
        <w:rPr>
          <w:lang w:val="fr-FR"/>
        </w:rPr>
        <w:t xml:space="preserve"> </w:t>
      </w:r>
      <w:r w:rsidR="004A6B92" w:rsidRPr="00E740A4">
        <w:rPr>
          <w:lang w:val="fr-FR"/>
        </w:rPr>
        <w:t>de porte à porte ou à un point fixe.</w:t>
      </w:r>
    </w:p>
    <w:p w14:paraId="151CAAE9" w14:textId="77777777" w:rsidR="00411942" w:rsidRPr="00E740A4" w:rsidRDefault="004A6B92">
      <w:pPr>
        <w:pStyle w:val="P68B1DB1-Normal2"/>
        <w:spacing w:before="120"/>
        <w:jc w:val="both"/>
        <w:rPr>
          <w:szCs w:val="20"/>
          <w:lang w:val="fr-FR"/>
        </w:rPr>
      </w:pPr>
      <w:r w:rsidRPr="00E740A4">
        <w:rPr>
          <w:lang w:val="fr-FR"/>
        </w:rPr>
        <w:t>Une quantification précise des apports est un facteur décisif dans la mise en œuvre réussie de la CPS. Pour estimer la quantité de médicaments nécessaire, il convient d’évaluer le plus précisément possible le nombre d’enfants ciblés.  Si de telles estimations ne sont pas disponibles, mais que la fraction d’enfants de cette tranche d’âge dans la population est connue, la quantité de médicaments pour la CPS peut être estimée. Les données démographiques peuvent être tirées du dernier recensement national, de l’enquête démographique et sanitaire la plus récente, ou obtenues auprès du bureau national des statistiques.</w:t>
      </w:r>
    </w:p>
    <w:p w14:paraId="0569D52D" w14:textId="350DBB1C" w:rsidR="00411942" w:rsidRPr="00E740A4" w:rsidRDefault="004A6B92">
      <w:pPr>
        <w:pStyle w:val="P68B1DB1-Normal2"/>
        <w:spacing w:before="120"/>
        <w:jc w:val="both"/>
        <w:rPr>
          <w:szCs w:val="20"/>
          <w:lang w:val="fr-FR"/>
        </w:rPr>
      </w:pPr>
      <w:r w:rsidRPr="00E740A4">
        <w:rPr>
          <w:lang w:val="fr-FR"/>
        </w:rPr>
        <w:t>Le nombre de comprimés correspond au nombre attendu d’enfants dans la ou les zones cibles multiplié par le nombre de doses administrées durant la saison de transmission.</w:t>
      </w:r>
    </w:p>
    <w:p w14:paraId="1A2DDBA3" w14:textId="7D0391E1" w:rsidR="00411942" w:rsidRPr="00E740A4" w:rsidRDefault="004A6B92">
      <w:pPr>
        <w:pStyle w:val="P68B1DB1-Normal2"/>
        <w:spacing w:before="120"/>
        <w:jc w:val="both"/>
        <w:rPr>
          <w:szCs w:val="20"/>
          <w:lang w:val="fr-FR"/>
        </w:rPr>
      </w:pPr>
      <w:r w:rsidRPr="00E740A4">
        <w:rPr>
          <w:lang w:val="fr-FR"/>
        </w:rPr>
        <w:t xml:space="preserve">Pour l’analyse des </w:t>
      </w:r>
      <w:r w:rsidR="006D1F0A">
        <w:rPr>
          <w:lang w:val="fr-FR"/>
        </w:rPr>
        <w:t>écart</w:t>
      </w:r>
      <w:r w:rsidRPr="00E740A4">
        <w:rPr>
          <w:lang w:val="fr-FR"/>
        </w:rPr>
        <w:t>s, indique</w:t>
      </w:r>
      <w:r w:rsidR="0019405B">
        <w:rPr>
          <w:lang w:val="fr-FR"/>
        </w:rPr>
        <w:t>r</w:t>
      </w:r>
      <w:r w:rsidRPr="00E740A4">
        <w:rPr>
          <w:lang w:val="fr-FR"/>
        </w:rPr>
        <w:t xml:space="preserve"> le nombre d’enfants à atteindre (en notant les tranches d’âge ciblées), le nombre de cycles de la CPS, puis le nombre de cycles financés (par le biais de ressources nationales et externes), la nécessité d</w:t>
      </w:r>
      <w:r w:rsidR="000B498D">
        <w:rPr>
          <w:lang w:val="fr-FR"/>
        </w:rPr>
        <w:t>’</w:t>
      </w:r>
      <w:r w:rsidRPr="00E740A4">
        <w:rPr>
          <w:lang w:val="fr-FR"/>
        </w:rPr>
        <w:t>y répondre au moyen des allocations du Fonds mondial et des éventuels manques restant à combler. Envisage</w:t>
      </w:r>
      <w:r w:rsidR="0019405B">
        <w:rPr>
          <w:lang w:val="fr-FR"/>
        </w:rPr>
        <w:t>r</w:t>
      </w:r>
      <w:r w:rsidRPr="00E740A4">
        <w:rPr>
          <w:lang w:val="fr-FR"/>
        </w:rPr>
        <w:t xml:space="preserve"> de combler les éventuels manques à travers la </w:t>
      </w:r>
      <w:r w:rsidR="002524EF">
        <w:rPr>
          <w:lang w:val="fr-FR"/>
        </w:rPr>
        <w:t>d</w:t>
      </w:r>
      <w:r w:rsidR="002524EF" w:rsidRPr="002524EF">
        <w:rPr>
          <w:lang w:val="fr-FR"/>
        </w:rPr>
        <w:t xml:space="preserve">emande hiérarchisée de financement au-delà de la somme allouée </w:t>
      </w:r>
      <w:r w:rsidR="002524EF">
        <w:rPr>
          <w:lang w:val="fr-FR"/>
        </w:rPr>
        <w:t>a</w:t>
      </w:r>
      <w:r w:rsidRPr="00E740A4">
        <w:rPr>
          <w:lang w:val="fr-FR"/>
        </w:rPr>
        <w:t>u Fonds mondial.</w:t>
      </w:r>
    </w:p>
    <w:p w14:paraId="35460221" w14:textId="29E02C0A" w:rsidR="00411942" w:rsidRDefault="004A6B92">
      <w:pPr>
        <w:pStyle w:val="P68B1DB1-Heading23"/>
        <w:spacing w:before="120"/>
        <w:rPr>
          <w:lang w:val="fr-FR"/>
        </w:rPr>
      </w:pPr>
      <w:r w:rsidRPr="00E740A4">
        <w:rPr>
          <w:lang w:val="fr-FR"/>
        </w:rPr>
        <w:t>T</w:t>
      </w:r>
      <w:r w:rsidR="005065F1">
        <w:rPr>
          <w:lang w:val="fr-FR"/>
        </w:rPr>
        <w:t xml:space="preserve">raitement </w:t>
      </w:r>
      <w:r w:rsidRPr="00E740A4">
        <w:rPr>
          <w:lang w:val="fr-FR"/>
        </w:rPr>
        <w:t>P</w:t>
      </w:r>
      <w:r w:rsidR="005065F1">
        <w:rPr>
          <w:lang w:val="fr-FR"/>
        </w:rPr>
        <w:t xml:space="preserve">rophylactique </w:t>
      </w:r>
      <w:r w:rsidRPr="00E740A4">
        <w:rPr>
          <w:lang w:val="fr-FR"/>
        </w:rPr>
        <w:t>I</w:t>
      </w:r>
      <w:r w:rsidR="005065F1">
        <w:rPr>
          <w:lang w:val="fr-FR"/>
        </w:rPr>
        <w:t>ntermittent (TPI)</w:t>
      </w:r>
    </w:p>
    <w:p w14:paraId="1806527A" w14:textId="77777777" w:rsidR="005065F1" w:rsidRPr="00E740A4" w:rsidRDefault="005065F1">
      <w:pPr>
        <w:pStyle w:val="P68B1DB1-Heading23"/>
        <w:spacing w:before="120"/>
        <w:rPr>
          <w:szCs w:val="20"/>
          <w:lang w:val="fr-FR"/>
        </w:rPr>
      </w:pPr>
    </w:p>
    <w:p w14:paraId="7A76B827" w14:textId="454D2AC9" w:rsidR="00411942" w:rsidRPr="00E740A4" w:rsidRDefault="004A6B92">
      <w:pPr>
        <w:pStyle w:val="P68B1DB1-NormalWeb10"/>
        <w:shd w:val="clear" w:color="auto" w:fill="FFFFFF"/>
        <w:spacing w:before="0" w:beforeAutospacing="0" w:after="120" w:afterAutospacing="0"/>
        <w:jc w:val="both"/>
        <w:rPr>
          <w:szCs w:val="20"/>
          <w:lang w:val="fr-FR"/>
        </w:rPr>
      </w:pPr>
      <w:r w:rsidRPr="00E740A4">
        <w:rPr>
          <w:lang w:val="fr-FR"/>
        </w:rPr>
        <w:t>Dans les zones où le paludisme est endémique, les femmes de toutes gravidités qui sont enceintes doivent recevoir un médicament antipaludique à des intervalles prédéterminés pour réduire la charge de la maladie pendant la grossesse et les effets néfastes de la grossesse et de la naissance. La sulfadoxine-pyriméthamine (SP) a été largement utilisée pour la chimioprévention du paludisme pendant la grossesse et reste efficace dans l’amélioration des résultats clés de la grossesse. Le traitement préventif intermittent à la sulfadoxine-pyriméthamine (TPIg-SP) doit commencer le plus tôt possible au deuxième trimestre et pas avant la 13</w:t>
      </w:r>
      <w:r w:rsidRPr="00201318">
        <w:rPr>
          <w:vertAlign w:val="superscript"/>
          <w:lang w:val="fr-FR"/>
        </w:rPr>
        <w:t>e</w:t>
      </w:r>
      <w:r w:rsidRPr="00E740A4">
        <w:rPr>
          <w:lang w:val="fr-FR"/>
        </w:rPr>
        <w:t xml:space="preserve"> semaine de la grossesse. Les doses doivent être séparées d’au moins un mois, ce pour s’assurer qu’au moins trois doses sont administrées. Les </w:t>
      </w:r>
      <w:r w:rsidR="009266DF">
        <w:rPr>
          <w:lang w:val="fr-FR"/>
        </w:rPr>
        <w:t>consultations prénatales</w:t>
      </w:r>
      <w:r w:rsidRPr="00E740A4">
        <w:rPr>
          <w:lang w:val="fr-FR"/>
        </w:rPr>
        <w:t xml:space="preserve"> (C</w:t>
      </w:r>
      <w:r w:rsidR="009266DF">
        <w:rPr>
          <w:lang w:val="fr-FR"/>
        </w:rPr>
        <w:t>PN</w:t>
      </w:r>
      <w:r w:rsidRPr="00E740A4">
        <w:rPr>
          <w:lang w:val="fr-FR"/>
        </w:rPr>
        <w:t xml:space="preserve">) demeurent une plateforme importante pour la fourniture du TPI. Lorsque des inégalités dans le service et la portée des soins prénatals existent, d’autres méthodes de prestation (par ex. l’utilisation </w:t>
      </w:r>
      <w:r w:rsidR="009266DF">
        <w:rPr>
          <w:lang w:val="fr-FR"/>
        </w:rPr>
        <w:t>des agents</w:t>
      </w:r>
      <w:r w:rsidRPr="00E740A4">
        <w:rPr>
          <w:lang w:val="fr-FR"/>
        </w:rPr>
        <w:t xml:space="preserve"> de santé communautaires) peuvent être explorées, afin de s’assurer que l</w:t>
      </w:r>
      <w:r w:rsidR="000B498D">
        <w:rPr>
          <w:lang w:val="fr-FR"/>
        </w:rPr>
        <w:t>’</w:t>
      </w:r>
      <w:r w:rsidRPr="00E740A4">
        <w:rPr>
          <w:lang w:val="fr-FR"/>
        </w:rPr>
        <w:t xml:space="preserve">apport de soins </w:t>
      </w:r>
      <w:r w:rsidR="009215ED">
        <w:rPr>
          <w:lang w:val="fr-FR"/>
        </w:rPr>
        <w:t>pr</w:t>
      </w:r>
      <w:r w:rsidRPr="00E740A4">
        <w:rPr>
          <w:lang w:val="fr-FR"/>
        </w:rPr>
        <w:t>énata</w:t>
      </w:r>
      <w:r w:rsidR="009215ED">
        <w:rPr>
          <w:lang w:val="fr-FR"/>
        </w:rPr>
        <w:t>ls</w:t>
      </w:r>
      <w:r w:rsidRPr="00E740A4">
        <w:rPr>
          <w:lang w:val="fr-FR"/>
        </w:rPr>
        <w:t xml:space="preserve"> est maintenu et que les inégalités sous-jacentes dans la prestation des soins </w:t>
      </w:r>
      <w:r w:rsidR="009215ED">
        <w:rPr>
          <w:lang w:val="fr-FR"/>
        </w:rPr>
        <w:t>pré</w:t>
      </w:r>
      <w:r w:rsidRPr="00E740A4">
        <w:rPr>
          <w:lang w:val="fr-FR"/>
        </w:rPr>
        <w:t>nata</w:t>
      </w:r>
      <w:r w:rsidR="009215ED">
        <w:rPr>
          <w:lang w:val="fr-FR"/>
        </w:rPr>
        <w:t>ls</w:t>
      </w:r>
      <w:r w:rsidRPr="00E740A4">
        <w:rPr>
          <w:lang w:val="fr-FR"/>
        </w:rPr>
        <w:t xml:space="preserve"> sont éliminées.</w:t>
      </w:r>
    </w:p>
    <w:p w14:paraId="1723A266" w14:textId="3C6F4280" w:rsidR="00411942" w:rsidRPr="00E740A4" w:rsidRDefault="004A6B92">
      <w:pPr>
        <w:pStyle w:val="P68B1DB1-Normal2"/>
        <w:shd w:val="clear" w:color="auto" w:fill="FFFFFF"/>
        <w:jc w:val="both"/>
        <w:rPr>
          <w:szCs w:val="20"/>
          <w:lang w:val="fr-FR"/>
        </w:rPr>
      </w:pPr>
      <w:r w:rsidRPr="00E740A4">
        <w:rPr>
          <w:lang w:val="fr-FR"/>
        </w:rPr>
        <w:t xml:space="preserve">Pour l’analyse des </w:t>
      </w:r>
      <w:r w:rsidR="00576B59">
        <w:rPr>
          <w:lang w:val="fr-FR"/>
        </w:rPr>
        <w:t>écart</w:t>
      </w:r>
      <w:r w:rsidRPr="00E740A4">
        <w:rPr>
          <w:lang w:val="fr-FR"/>
        </w:rPr>
        <w:t>s en TPI, indique</w:t>
      </w:r>
      <w:r w:rsidR="0019405B">
        <w:rPr>
          <w:lang w:val="fr-FR"/>
        </w:rPr>
        <w:t>r</w:t>
      </w:r>
      <w:r w:rsidRPr="00E740A4">
        <w:rPr>
          <w:lang w:val="fr-FR"/>
        </w:rPr>
        <w:t xml:space="preserve"> le nombre de femmes enceintes à atteindre (par le biais des </w:t>
      </w:r>
      <w:r w:rsidR="009266DF">
        <w:rPr>
          <w:lang w:val="fr-FR"/>
        </w:rPr>
        <w:t>consultations prénatales</w:t>
      </w:r>
      <w:r w:rsidRPr="00E740A4">
        <w:rPr>
          <w:lang w:val="fr-FR"/>
        </w:rPr>
        <w:t xml:space="preserve"> et, le cas échéant, par le biais des agents de santé communautaires). Ten</w:t>
      </w:r>
      <w:r w:rsidR="0019405B">
        <w:rPr>
          <w:lang w:val="fr-FR"/>
        </w:rPr>
        <w:t>ir</w:t>
      </w:r>
      <w:r w:rsidRPr="00E740A4">
        <w:rPr>
          <w:lang w:val="fr-FR"/>
        </w:rPr>
        <w:t xml:space="preserve"> compte de l’augmentation de la couverture de la population. Note</w:t>
      </w:r>
      <w:r w:rsidR="0019405B">
        <w:rPr>
          <w:lang w:val="fr-FR"/>
        </w:rPr>
        <w:t>r</w:t>
      </w:r>
      <w:r w:rsidRPr="00E740A4">
        <w:rPr>
          <w:lang w:val="fr-FR"/>
        </w:rPr>
        <w:t xml:space="preserve"> également la couverture des soins prénatals et ten</w:t>
      </w:r>
      <w:r w:rsidR="00BE62C8">
        <w:rPr>
          <w:lang w:val="fr-FR"/>
        </w:rPr>
        <w:t>ir</w:t>
      </w:r>
      <w:r w:rsidRPr="00E740A4">
        <w:rPr>
          <w:lang w:val="fr-FR"/>
        </w:rPr>
        <w:t xml:space="preserve"> compte d</w:t>
      </w:r>
      <w:r w:rsidR="000B498D">
        <w:rPr>
          <w:lang w:val="fr-FR"/>
        </w:rPr>
        <w:t>’</w:t>
      </w:r>
      <w:r w:rsidRPr="00E740A4">
        <w:rPr>
          <w:lang w:val="fr-FR"/>
        </w:rPr>
        <w:t xml:space="preserve">éventuelles augmentations dans la couverture des soins prénatals. Concernant la cible à atteindre, il convient de relever les éléments financés par le biais des ressources nationales et externes, le besoin de les couvrir par le biais des allocations du Fonds mondial et les éventuels </w:t>
      </w:r>
      <w:r w:rsidR="009C6A1B">
        <w:rPr>
          <w:lang w:val="fr-FR"/>
        </w:rPr>
        <w:t>écart</w:t>
      </w:r>
      <w:r w:rsidRPr="00E740A4">
        <w:rPr>
          <w:lang w:val="fr-FR"/>
        </w:rPr>
        <w:t>s qui subsistent. Envisage</w:t>
      </w:r>
      <w:r w:rsidR="00D711FD">
        <w:rPr>
          <w:lang w:val="fr-FR"/>
        </w:rPr>
        <w:t>r</w:t>
      </w:r>
      <w:r w:rsidRPr="00E740A4">
        <w:rPr>
          <w:lang w:val="fr-FR"/>
        </w:rPr>
        <w:t xml:space="preserve"> de combler </w:t>
      </w:r>
      <w:r w:rsidR="00D711FD">
        <w:rPr>
          <w:lang w:val="fr-FR"/>
        </w:rPr>
        <w:t>c</w:t>
      </w:r>
      <w:r w:rsidRPr="00E740A4">
        <w:rPr>
          <w:lang w:val="fr-FR"/>
        </w:rPr>
        <w:t xml:space="preserve">es éventuels </w:t>
      </w:r>
      <w:r w:rsidR="00D711FD">
        <w:rPr>
          <w:lang w:val="fr-FR"/>
        </w:rPr>
        <w:t>éc</w:t>
      </w:r>
      <w:r w:rsidR="009C6A1B">
        <w:rPr>
          <w:lang w:val="fr-FR"/>
        </w:rPr>
        <w:t>ar</w:t>
      </w:r>
      <w:r w:rsidR="00D711FD">
        <w:rPr>
          <w:lang w:val="fr-FR"/>
        </w:rPr>
        <w:t>t</w:t>
      </w:r>
      <w:r w:rsidRPr="00E740A4">
        <w:rPr>
          <w:lang w:val="fr-FR"/>
        </w:rPr>
        <w:t xml:space="preserve">s à travers la </w:t>
      </w:r>
      <w:r w:rsidR="002524EF">
        <w:rPr>
          <w:lang w:val="fr-FR"/>
        </w:rPr>
        <w:t>d</w:t>
      </w:r>
      <w:r w:rsidR="002524EF" w:rsidRPr="002524EF">
        <w:rPr>
          <w:lang w:val="fr-FR"/>
        </w:rPr>
        <w:t>emande hiérarchisée de financement au-delà de la somme allouée</w:t>
      </w:r>
      <w:r w:rsidR="00927CBD">
        <w:rPr>
          <w:lang w:val="fr-FR"/>
        </w:rPr>
        <w:t xml:space="preserve"> a</w:t>
      </w:r>
      <w:r w:rsidRPr="00E740A4">
        <w:rPr>
          <w:lang w:val="fr-FR"/>
        </w:rPr>
        <w:t>u Fonds mondial.</w:t>
      </w:r>
    </w:p>
    <w:p w14:paraId="16848433" w14:textId="77777777" w:rsidR="00411942" w:rsidRPr="00E740A4" w:rsidRDefault="00411942">
      <w:pPr>
        <w:rPr>
          <w:rFonts w:ascii="Arial" w:hAnsi="Arial" w:cs="Arial"/>
          <w:sz w:val="20"/>
          <w:szCs w:val="20"/>
          <w:lang w:val="fr-FR"/>
        </w:rPr>
      </w:pPr>
    </w:p>
    <w:p w14:paraId="7DF19195" w14:textId="13570E68" w:rsidR="00411942" w:rsidRPr="00E740A4" w:rsidRDefault="004A6B92">
      <w:pPr>
        <w:pStyle w:val="P68B1DB1-Heading23"/>
        <w:spacing w:before="120"/>
        <w:rPr>
          <w:szCs w:val="20"/>
          <w:lang w:val="fr-FR"/>
        </w:rPr>
      </w:pPr>
      <w:r w:rsidRPr="00E740A4">
        <w:rPr>
          <w:lang w:val="fr-FR"/>
        </w:rPr>
        <w:t xml:space="preserve">Notes d’orientation spécifiques à l’analyse des </w:t>
      </w:r>
      <w:r w:rsidR="000F57D4">
        <w:rPr>
          <w:lang w:val="fr-FR"/>
        </w:rPr>
        <w:t>écart</w:t>
      </w:r>
      <w:r w:rsidRPr="00E740A4">
        <w:rPr>
          <w:lang w:val="fr-FR"/>
        </w:rPr>
        <w:t>s en suivi-évaluation, gestion d</w:t>
      </w:r>
      <w:r w:rsidR="009266DF">
        <w:rPr>
          <w:lang w:val="fr-FR"/>
        </w:rPr>
        <w:t>e</w:t>
      </w:r>
      <w:r w:rsidRPr="00E740A4">
        <w:rPr>
          <w:lang w:val="fr-FR"/>
        </w:rPr>
        <w:t xml:space="preserve"> programme, plaidoyer et changement social et comportemental (CSC)</w:t>
      </w:r>
    </w:p>
    <w:p w14:paraId="376AFF89" w14:textId="0DD06076" w:rsidR="00411942" w:rsidRPr="00E740A4" w:rsidRDefault="004A6B92">
      <w:pPr>
        <w:pStyle w:val="P68B1DB1-ListParagraph4"/>
        <w:numPr>
          <w:ilvl w:val="0"/>
          <w:numId w:val="8"/>
        </w:numPr>
        <w:spacing w:before="120"/>
        <w:rPr>
          <w:b/>
          <w:color w:val="0070C0"/>
          <w:szCs w:val="20"/>
          <w:lang w:val="fr-FR"/>
        </w:rPr>
      </w:pPr>
      <w:r w:rsidRPr="00E740A4">
        <w:rPr>
          <w:lang w:val="fr-FR"/>
        </w:rPr>
        <w:t>Les listes des feuilles de travail portant respectivement sur le suivi-évaluation, la gestion d</w:t>
      </w:r>
      <w:r w:rsidR="009266DF">
        <w:rPr>
          <w:lang w:val="fr-FR"/>
        </w:rPr>
        <w:t>e</w:t>
      </w:r>
      <w:r w:rsidRPr="00E740A4">
        <w:rPr>
          <w:lang w:val="fr-FR"/>
        </w:rPr>
        <w:t xml:space="preserve"> programme, le plaidoyer et le changement social et comportemental sont proposées à titre </w:t>
      </w:r>
      <w:r w:rsidRPr="00E740A4">
        <w:rPr>
          <w:lang w:val="fr-FR"/>
        </w:rPr>
        <w:lastRenderedPageBreak/>
        <w:t>indicatif. Elles ne sont en aucun cas exhaustives, puisque les mécanismes de soutien diffèrent significativement d’un pays à l’autre et au sein d’un même pays.</w:t>
      </w:r>
    </w:p>
    <w:p w14:paraId="1ED9EEBB" w14:textId="0E113695" w:rsidR="00411942" w:rsidRPr="00E740A4" w:rsidRDefault="004A6B92">
      <w:pPr>
        <w:pStyle w:val="P68B1DB1-ListParagraph4"/>
        <w:numPr>
          <w:ilvl w:val="0"/>
          <w:numId w:val="8"/>
        </w:numPr>
        <w:spacing w:before="120"/>
        <w:rPr>
          <w:b/>
          <w:color w:val="0070C0"/>
          <w:szCs w:val="20"/>
          <w:lang w:val="fr-FR"/>
        </w:rPr>
      </w:pPr>
      <w:r w:rsidRPr="00E740A4">
        <w:rPr>
          <w:lang w:val="fr-FR"/>
        </w:rPr>
        <w:t>N’oublie</w:t>
      </w:r>
      <w:r w:rsidR="00D711FD">
        <w:rPr>
          <w:lang w:val="fr-FR"/>
        </w:rPr>
        <w:t>r</w:t>
      </w:r>
      <w:r w:rsidRPr="00E740A4">
        <w:rPr>
          <w:lang w:val="fr-FR"/>
        </w:rPr>
        <w:t xml:space="preserve"> aucune des activités particulières </w:t>
      </w:r>
      <w:r w:rsidR="00D711FD">
        <w:rPr>
          <w:lang w:val="fr-FR"/>
        </w:rPr>
        <w:t>au</w:t>
      </w:r>
      <w:r w:rsidRPr="00E740A4">
        <w:rPr>
          <w:lang w:val="fr-FR"/>
        </w:rPr>
        <w:t xml:space="preserve"> plan stratégique national. Veille</w:t>
      </w:r>
      <w:r w:rsidR="00D711FD">
        <w:rPr>
          <w:lang w:val="fr-FR"/>
        </w:rPr>
        <w:t>r</w:t>
      </w:r>
      <w:r w:rsidRPr="00E740A4">
        <w:rPr>
          <w:lang w:val="fr-FR"/>
        </w:rPr>
        <w:t xml:space="preserve"> à ce que des approches fondées sur des données probantes soient adoptées pour le </w:t>
      </w:r>
      <w:r w:rsidR="009266DF">
        <w:rPr>
          <w:lang w:val="fr-FR"/>
        </w:rPr>
        <w:t>changement social et comportemental</w:t>
      </w:r>
      <w:r w:rsidRPr="00E740A4">
        <w:rPr>
          <w:lang w:val="fr-FR"/>
        </w:rPr>
        <w:t>. En fonction de la situation locale, envisage</w:t>
      </w:r>
      <w:r w:rsidR="00E42957">
        <w:rPr>
          <w:lang w:val="fr-FR"/>
        </w:rPr>
        <w:t>r</w:t>
      </w:r>
      <w:r w:rsidRPr="00E740A4">
        <w:rPr>
          <w:lang w:val="fr-FR"/>
        </w:rPr>
        <w:t xml:space="preserve"> la possibilité de combiner des mécanismes de suivi et d’évaluation, y compris avec des données de routine issu</w:t>
      </w:r>
      <w:r w:rsidR="002D11B6">
        <w:rPr>
          <w:lang w:val="fr-FR"/>
        </w:rPr>
        <w:t>e</w:t>
      </w:r>
      <w:r w:rsidRPr="00E740A4">
        <w:rPr>
          <w:lang w:val="fr-FR"/>
        </w:rPr>
        <w:t>s de systèmes de gestion des informations relatives à la santé, du système d</w:t>
      </w:r>
      <w:r w:rsidR="000B498D">
        <w:rPr>
          <w:lang w:val="fr-FR"/>
        </w:rPr>
        <w:t>’</w:t>
      </w:r>
      <w:r w:rsidRPr="00E740A4">
        <w:rPr>
          <w:lang w:val="fr-FR"/>
        </w:rPr>
        <w:t>information sur la gestion logistique des produits de santé ainsi que des enquêtes telles que celles portant sur les indicateurs du paludisme. Inclu</w:t>
      </w:r>
      <w:r w:rsidR="00E42957">
        <w:rPr>
          <w:lang w:val="fr-FR"/>
        </w:rPr>
        <w:t>re</w:t>
      </w:r>
      <w:r w:rsidRPr="00E740A4">
        <w:rPr>
          <w:lang w:val="fr-FR"/>
        </w:rPr>
        <w:t xml:space="preserve"> également les activités essentielles telles que le suivi de la résistance aux insecticides, le suivi de la résistance aux médicaments et le suivi de la durabilité des MII.</w:t>
      </w:r>
    </w:p>
    <w:p w14:paraId="29A84C1C" w14:textId="55822E57" w:rsidR="00411942" w:rsidRPr="00E740A4" w:rsidRDefault="004A6B92">
      <w:pPr>
        <w:pStyle w:val="P68B1DB1-ListParagraph4"/>
        <w:numPr>
          <w:ilvl w:val="0"/>
          <w:numId w:val="8"/>
        </w:numPr>
        <w:spacing w:before="120"/>
        <w:rPr>
          <w:b/>
          <w:color w:val="0070C0"/>
          <w:szCs w:val="20"/>
          <w:lang w:val="fr-FR"/>
        </w:rPr>
      </w:pPr>
      <w:r w:rsidRPr="00E740A4">
        <w:rPr>
          <w:lang w:val="fr-FR"/>
        </w:rPr>
        <w:t>Établi</w:t>
      </w:r>
      <w:r w:rsidR="00E42957">
        <w:rPr>
          <w:lang w:val="fr-FR"/>
        </w:rPr>
        <w:t>r</w:t>
      </w:r>
      <w:r w:rsidRPr="00E740A4">
        <w:rPr>
          <w:lang w:val="fr-FR"/>
        </w:rPr>
        <w:t xml:space="preserve"> le coût moyen par unité pour entreprendre pleinement chacune des activités en question et </w:t>
      </w:r>
      <w:r w:rsidR="00E42957">
        <w:rPr>
          <w:lang w:val="fr-FR"/>
        </w:rPr>
        <w:t>l’</w:t>
      </w:r>
      <w:r w:rsidRPr="00E740A4">
        <w:rPr>
          <w:lang w:val="fr-FR"/>
        </w:rPr>
        <w:t>utilise</w:t>
      </w:r>
      <w:r w:rsidR="00E42957">
        <w:rPr>
          <w:lang w:val="fr-FR"/>
        </w:rPr>
        <w:t>r</w:t>
      </w:r>
      <w:r w:rsidRPr="00E740A4">
        <w:rPr>
          <w:lang w:val="fr-FR"/>
        </w:rPr>
        <w:t xml:space="preserve"> pour calculer le coût total par activité et par an.</w:t>
      </w:r>
    </w:p>
    <w:p w14:paraId="387C8F49" w14:textId="2A5FBCE8" w:rsidR="00411942" w:rsidRPr="00E740A4" w:rsidRDefault="004A6B92">
      <w:pPr>
        <w:pStyle w:val="P68B1DB1-ListParagraph4"/>
        <w:numPr>
          <w:ilvl w:val="0"/>
          <w:numId w:val="8"/>
        </w:numPr>
        <w:spacing w:before="120"/>
        <w:rPr>
          <w:b/>
          <w:color w:val="0070C0"/>
          <w:szCs w:val="20"/>
          <w:lang w:val="fr-FR"/>
        </w:rPr>
      </w:pPr>
      <w:r w:rsidRPr="00E740A4">
        <w:rPr>
          <w:lang w:val="fr-FR"/>
        </w:rPr>
        <w:t>Les coûts de la plupart de ces activités dépendant du pays concerné, il est nécessaire de justifier le coût d</w:t>
      </w:r>
      <w:r w:rsidR="000F57D4">
        <w:rPr>
          <w:lang w:val="fr-FR"/>
        </w:rPr>
        <w:t>u</w:t>
      </w:r>
      <w:r w:rsidRPr="00E740A4">
        <w:rPr>
          <w:lang w:val="fr-FR"/>
        </w:rPr>
        <w:t xml:space="preserve"> soutien </w:t>
      </w:r>
      <w:r w:rsidR="000F57D4">
        <w:rPr>
          <w:lang w:val="fr-FR"/>
        </w:rPr>
        <w:t xml:space="preserve">à y apporter </w:t>
      </w:r>
      <w:r w:rsidRPr="00E740A4">
        <w:rPr>
          <w:lang w:val="fr-FR"/>
        </w:rPr>
        <w:t xml:space="preserve">dans </w:t>
      </w:r>
      <w:r w:rsidR="00BE62C8">
        <w:rPr>
          <w:lang w:val="fr-FR"/>
        </w:rPr>
        <w:t>l’</w:t>
      </w:r>
      <w:r w:rsidRPr="00E740A4">
        <w:rPr>
          <w:lang w:val="fr-FR"/>
        </w:rPr>
        <w:t xml:space="preserve">analyse des </w:t>
      </w:r>
      <w:r w:rsidR="00803737">
        <w:rPr>
          <w:lang w:val="fr-FR"/>
        </w:rPr>
        <w:t>manque</w:t>
      </w:r>
      <w:r w:rsidRPr="00E740A4">
        <w:rPr>
          <w:lang w:val="fr-FR"/>
        </w:rPr>
        <w:t>s de moyens financiers.</w:t>
      </w:r>
    </w:p>
    <w:p w14:paraId="7A372E4F" w14:textId="4567AFF2" w:rsidR="00411942" w:rsidRDefault="004A6B92">
      <w:pPr>
        <w:pStyle w:val="P68B1DB1-Heading111"/>
        <w:spacing w:before="120"/>
        <w:rPr>
          <w:lang w:val="fr-FR"/>
        </w:rPr>
      </w:pPr>
      <w:r w:rsidRPr="00E740A4">
        <w:rPr>
          <w:lang w:val="fr-FR"/>
        </w:rPr>
        <w:t xml:space="preserve">Méthode de conduite de l’analyse des </w:t>
      </w:r>
      <w:r w:rsidR="009266DF">
        <w:rPr>
          <w:lang w:val="fr-FR"/>
        </w:rPr>
        <w:t>déficits</w:t>
      </w:r>
      <w:r w:rsidRPr="00E740A4">
        <w:rPr>
          <w:lang w:val="fr-FR"/>
        </w:rPr>
        <w:t xml:space="preserve"> financiers pour lutter contre le paludisme</w:t>
      </w:r>
    </w:p>
    <w:p w14:paraId="7070207C" w14:textId="77777777" w:rsidR="009266DF" w:rsidRPr="009266DF" w:rsidRDefault="009266DF">
      <w:pPr>
        <w:pStyle w:val="P68B1DB1-Heading111"/>
        <w:spacing w:before="120"/>
        <w:rPr>
          <w:lang w:val="fr-FR"/>
        </w:rPr>
      </w:pPr>
    </w:p>
    <w:p w14:paraId="31F878BF" w14:textId="35D5AB22" w:rsidR="00411942" w:rsidRPr="00E740A4" w:rsidRDefault="004A6B92" w:rsidP="00201318">
      <w:pPr>
        <w:pStyle w:val="P68B1DB1-ListParagraph4"/>
        <w:ind w:left="0"/>
        <w:rPr>
          <w:szCs w:val="20"/>
          <w:lang w:val="fr-FR"/>
        </w:rPr>
      </w:pPr>
      <w:r w:rsidRPr="00E740A4">
        <w:rPr>
          <w:lang w:val="fr-FR"/>
        </w:rPr>
        <w:t xml:space="preserve">L’analyse des </w:t>
      </w:r>
      <w:r w:rsidR="009266DF">
        <w:rPr>
          <w:lang w:val="fr-FR"/>
        </w:rPr>
        <w:t>déficits</w:t>
      </w:r>
      <w:r w:rsidRPr="00E740A4">
        <w:rPr>
          <w:lang w:val="fr-FR"/>
        </w:rPr>
        <w:t xml:space="preserve"> financiers doit s’appuyer sur les besoins identifiés lors de l’analyse des </w:t>
      </w:r>
      <w:r w:rsidR="00E30727">
        <w:rPr>
          <w:lang w:val="fr-FR"/>
        </w:rPr>
        <w:t>écart</w:t>
      </w:r>
      <w:r w:rsidRPr="00E740A4">
        <w:rPr>
          <w:lang w:val="fr-FR"/>
        </w:rPr>
        <w:t>s programmatiques de chaque intervention.</w:t>
      </w:r>
    </w:p>
    <w:p w14:paraId="55633466" w14:textId="432E4FAA" w:rsidR="00411942" w:rsidRPr="00E740A4" w:rsidRDefault="004A6B92" w:rsidP="00E30727">
      <w:pPr>
        <w:pStyle w:val="ListParagraph"/>
        <w:numPr>
          <w:ilvl w:val="0"/>
          <w:numId w:val="1"/>
        </w:numPr>
        <w:jc w:val="both"/>
        <w:rPr>
          <w:rFonts w:ascii="Arial" w:hAnsi="Arial" w:cs="Arial"/>
          <w:sz w:val="20"/>
          <w:szCs w:val="20"/>
          <w:lang w:val="fr-FR"/>
        </w:rPr>
      </w:pPr>
      <w:r w:rsidRPr="00E740A4">
        <w:rPr>
          <w:rFonts w:ascii="Arial" w:hAnsi="Arial" w:cs="Arial"/>
          <w:sz w:val="20"/>
          <w:lang w:val="fr-FR"/>
        </w:rPr>
        <w:t>Établi</w:t>
      </w:r>
      <w:r w:rsidR="001F7D9B">
        <w:rPr>
          <w:rFonts w:ascii="Arial" w:hAnsi="Arial" w:cs="Arial"/>
          <w:sz w:val="20"/>
          <w:lang w:val="fr-FR"/>
        </w:rPr>
        <w:t>r</w:t>
      </w:r>
      <w:r w:rsidRPr="00E740A4">
        <w:rPr>
          <w:rFonts w:ascii="Arial" w:hAnsi="Arial" w:cs="Arial"/>
          <w:sz w:val="20"/>
          <w:lang w:val="fr-FR"/>
        </w:rPr>
        <w:t xml:space="preserve"> le coût des produits essentiels nécessaires à chaque </w:t>
      </w:r>
      <w:r w:rsidR="00384290">
        <w:rPr>
          <w:rFonts w:ascii="Arial" w:hAnsi="Arial" w:cs="Arial"/>
          <w:sz w:val="20"/>
          <w:lang w:val="fr-FR"/>
        </w:rPr>
        <w:t>intervention</w:t>
      </w:r>
      <w:r>
        <w:rPr>
          <w:rStyle w:val="FootnoteReference"/>
          <w:rFonts w:ascii="Arial" w:hAnsi="Arial" w:cs="Arial"/>
        </w:rPr>
        <w:footnoteReference w:id="2"/>
      </w:r>
      <w:r w:rsidRPr="00E740A4">
        <w:rPr>
          <w:rFonts w:ascii="Arial" w:hAnsi="Arial" w:cs="Arial"/>
          <w:sz w:val="20"/>
          <w:lang w:val="fr-FR"/>
        </w:rPr>
        <w:t>.</w:t>
      </w:r>
    </w:p>
    <w:p w14:paraId="59DE0159" w14:textId="07EBBA73" w:rsidR="00411942" w:rsidRPr="00E740A4" w:rsidRDefault="004A6B92" w:rsidP="00E30727">
      <w:pPr>
        <w:pStyle w:val="P68B1DB1-ListParagraph4"/>
        <w:numPr>
          <w:ilvl w:val="0"/>
          <w:numId w:val="1"/>
        </w:numPr>
        <w:jc w:val="both"/>
        <w:rPr>
          <w:szCs w:val="20"/>
          <w:lang w:val="fr-FR"/>
        </w:rPr>
      </w:pPr>
      <w:r w:rsidRPr="00E740A4">
        <w:rPr>
          <w:lang w:val="fr-FR"/>
        </w:rPr>
        <w:t>Élabore</w:t>
      </w:r>
      <w:r w:rsidR="001F7D9B">
        <w:rPr>
          <w:lang w:val="fr-FR"/>
        </w:rPr>
        <w:t>r</w:t>
      </w:r>
      <w:r w:rsidRPr="00E740A4">
        <w:rPr>
          <w:lang w:val="fr-FR"/>
        </w:rPr>
        <w:t xml:space="preserve"> un résumé des coûts des produits essentiels déjà assumés par les ressources existantes.</w:t>
      </w:r>
    </w:p>
    <w:p w14:paraId="34E69A6F" w14:textId="77777777" w:rsidR="00411942" w:rsidRPr="00E740A4" w:rsidRDefault="004A6B92" w:rsidP="00E30727">
      <w:pPr>
        <w:pStyle w:val="P68B1DB1-ListParagraph12"/>
        <w:ind w:left="360"/>
        <w:jc w:val="both"/>
        <w:rPr>
          <w:szCs w:val="20"/>
          <w:lang w:val="fr-FR"/>
        </w:rPr>
      </w:pPr>
      <w:r w:rsidRPr="00E740A4">
        <w:rPr>
          <w:lang w:val="fr-FR"/>
        </w:rPr>
        <w:t>Il convient de tenir compte du financement à l’échelle nationale et des données des partenaires internationaux.</w:t>
      </w:r>
    </w:p>
    <w:p w14:paraId="0DBF6BC5" w14:textId="3E21451D" w:rsidR="00411942" w:rsidRPr="00E740A4" w:rsidRDefault="004A6B92" w:rsidP="00E30727">
      <w:pPr>
        <w:pStyle w:val="P68B1DB1-ListParagraph4"/>
        <w:numPr>
          <w:ilvl w:val="0"/>
          <w:numId w:val="1"/>
        </w:numPr>
        <w:jc w:val="both"/>
        <w:rPr>
          <w:szCs w:val="20"/>
          <w:lang w:val="fr-FR"/>
        </w:rPr>
      </w:pPr>
      <w:r w:rsidRPr="00E740A4">
        <w:rPr>
          <w:lang w:val="fr-FR"/>
        </w:rPr>
        <w:t>Identifi</w:t>
      </w:r>
      <w:r w:rsidR="001F7D9B">
        <w:rPr>
          <w:lang w:val="fr-FR"/>
        </w:rPr>
        <w:t>er le</w:t>
      </w:r>
      <w:r w:rsidRPr="00E740A4">
        <w:rPr>
          <w:lang w:val="fr-FR"/>
        </w:rPr>
        <w:t xml:space="preserve"> coût des produits essentiels qu’il reste à financer.</w:t>
      </w:r>
    </w:p>
    <w:p w14:paraId="03961712" w14:textId="3972BEF9" w:rsidR="00411942" w:rsidRPr="00E740A4" w:rsidRDefault="004A6B92">
      <w:pPr>
        <w:pStyle w:val="P68B1DB1-ListParagraph4"/>
        <w:numPr>
          <w:ilvl w:val="0"/>
          <w:numId w:val="1"/>
        </w:numPr>
        <w:spacing w:before="120"/>
        <w:jc w:val="both"/>
        <w:rPr>
          <w:szCs w:val="20"/>
          <w:lang w:val="fr-FR"/>
        </w:rPr>
      </w:pPr>
      <w:r w:rsidRPr="00E740A4">
        <w:rPr>
          <w:lang w:val="fr-FR"/>
        </w:rPr>
        <w:t>Établi</w:t>
      </w:r>
      <w:r w:rsidR="001F7D9B">
        <w:rPr>
          <w:lang w:val="fr-FR"/>
        </w:rPr>
        <w:t>r</w:t>
      </w:r>
      <w:r w:rsidRPr="00E740A4">
        <w:rPr>
          <w:lang w:val="fr-FR"/>
        </w:rPr>
        <w:t xml:space="preserve"> le coût des activités détaillées à entreprendre, assorties de leur échéancier (activités techniques et de soutien).</w:t>
      </w:r>
    </w:p>
    <w:p w14:paraId="2FFFD15A" w14:textId="5B35EA7B" w:rsidR="00411942" w:rsidRPr="00E740A4" w:rsidRDefault="004A6B92">
      <w:pPr>
        <w:pStyle w:val="P68B1DB1-ListParagraph4"/>
        <w:numPr>
          <w:ilvl w:val="0"/>
          <w:numId w:val="1"/>
        </w:numPr>
        <w:spacing w:before="120"/>
        <w:jc w:val="both"/>
        <w:rPr>
          <w:szCs w:val="20"/>
          <w:lang w:val="fr-FR"/>
        </w:rPr>
      </w:pPr>
      <w:r w:rsidRPr="00E740A4">
        <w:rPr>
          <w:lang w:val="fr-FR"/>
        </w:rPr>
        <w:t>Évalu</w:t>
      </w:r>
      <w:r w:rsidR="001F7D9B">
        <w:rPr>
          <w:lang w:val="fr-FR"/>
        </w:rPr>
        <w:t>er le</w:t>
      </w:r>
      <w:r w:rsidRPr="00E740A4">
        <w:rPr>
          <w:lang w:val="fr-FR"/>
        </w:rPr>
        <w:t xml:space="preserve"> coût des activités déjà assumées par les ressources existantes.</w:t>
      </w:r>
    </w:p>
    <w:p w14:paraId="040F2BF0" w14:textId="2363883B" w:rsidR="00411942" w:rsidRPr="00E740A4" w:rsidRDefault="004A6B92">
      <w:pPr>
        <w:pStyle w:val="P68B1DB1-ListParagraph4"/>
        <w:numPr>
          <w:ilvl w:val="0"/>
          <w:numId w:val="1"/>
        </w:numPr>
        <w:spacing w:before="120"/>
        <w:jc w:val="both"/>
        <w:rPr>
          <w:szCs w:val="20"/>
          <w:lang w:val="fr-FR"/>
        </w:rPr>
      </w:pPr>
      <w:r w:rsidRPr="00E740A4">
        <w:rPr>
          <w:lang w:val="fr-FR"/>
        </w:rPr>
        <w:t>Détermine</w:t>
      </w:r>
      <w:r w:rsidR="001F7D9B">
        <w:rPr>
          <w:lang w:val="fr-FR"/>
        </w:rPr>
        <w:t>r</w:t>
      </w:r>
      <w:r w:rsidRPr="00E740A4">
        <w:rPr>
          <w:lang w:val="fr-FR"/>
        </w:rPr>
        <w:t xml:space="preserve"> le coût des activités qu</w:t>
      </w:r>
      <w:r w:rsidR="000B498D">
        <w:rPr>
          <w:lang w:val="fr-FR"/>
        </w:rPr>
        <w:t>’</w:t>
      </w:r>
      <w:r w:rsidRPr="00E740A4">
        <w:rPr>
          <w:lang w:val="fr-FR"/>
        </w:rPr>
        <w:t>il reste à financer.</w:t>
      </w:r>
    </w:p>
    <w:p w14:paraId="5515392E" w14:textId="77777777" w:rsidR="00411942" w:rsidRPr="00E740A4" w:rsidRDefault="004A6B92" w:rsidP="00201318">
      <w:pPr>
        <w:pStyle w:val="P68B1DB1-ListParagraph12"/>
        <w:spacing w:before="120"/>
        <w:ind w:left="0"/>
        <w:jc w:val="both"/>
        <w:rPr>
          <w:szCs w:val="20"/>
          <w:lang w:val="fr-FR"/>
        </w:rPr>
      </w:pPr>
      <w:r w:rsidRPr="00E740A4">
        <w:rPr>
          <w:lang w:val="fr-FR"/>
        </w:rPr>
        <w:t>Tant les informations provenant de financements nationaux que celles des partenaires internationaux seront prises en compte. Le coût unitaire des produits essentiels et des activités tiendra toujours compte des normes internationales et des coûts opérationnels locaux</w:t>
      </w:r>
    </w:p>
    <w:p w14:paraId="7AAD8F4F" w14:textId="4B65D683" w:rsidR="00411942" w:rsidRPr="00E740A4" w:rsidRDefault="004A6B92">
      <w:pPr>
        <w:pStyle w:val="P68B1DB1-Normal5"/>
        <w:spacing w:before="120"/>
        <w:rPr>
          <w:szCs w:val="20"/>
          <w:lang w:val="fr-FR"/>
        </w:rPr>
      </w:pPr>
      <w:r w:rsidRPr="00E740A4">
        <w:rPr>
          <w:lang w:val="fr-FR"/>
        </w:rPr>
        <w:t>Tableau</w:t>
      </w:r>
      <w:r w:rsidR="00391C3D">
        <w:rPr>
          <w:lang w:val="fr-FR"/>
        </w:rPr>
        <w:t> </w:t>
      </w:r>
      <w:r w:rsidRPr="00E740A4">
        <w:rPr>
          <w:lang w:val="fr-FR"/>
        </w:rPr>
        <w:t xml:space="preserve">2 : Analyse sommaire des </w:t>
      </w:r>
      <w:r w:rsidR="00CA5F54">
        <w:rPr>
          <w:lang w:val="fr-FR"/>
        </w:rPr>
        <w:t>écart</w:t>
      </w:r>
      <w:r w:rsidRPr="00E740A4">
        <w:rPr>
          <w:lang w:val="fr-FR"/>
        </w:rPr>
        <w:t>s de moyens budgétaires</w:t>
      </w:r>
    </w:p>
    <w:tbl>
      <w:tblPr>
        <w:tblW w:w="8380" w:type="dxa"/>
        <w:tblInd w:w="113" w:type="dxa"/>
        <w:tblLook w:val="04A0" w:firstRow="1" w:lastRow="0" w:firstColumn="1" w:lastColumn="0" w:noHBand="0" w:noVBand="1"/>
      </w:tblPr>
      <w:tblGrid>
        <w:gridCol w:w="4540"/>
        <w:gridCol w:w="960"/>
        <w:gridCol w:w="960"/>
        <w:gridCol w:w="960"/>
        <w:gridCol w:w="960"/>
      </w:tblGrid>
      <w:tr w:rsidR="00411942" w14:paraId="64E74D8B" w14:textId="77777777">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98BEB" w14:textId="77777777" w:rsidR="00411942" w:rsidRPr="00E740A4" w:rsidRDefault="004A6B92">
            <w:pPr>
              <w:pStyle w:val="P68B1DB1-Normal13"/>
              <w:spacing w:before="120"/>
              <w:rPr>
                <w:szCs w:val="20"/>
                <w:lang w:val="fr-FR"/>
              </w:rPr>
            </w:pPr>
            <w:r w:rsidRPr="00E740A4">
              <w:rPr>
                <w:lang w:val="fr-FR"/>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D9806E" w14:textId="3EDDA891" w:rsidR="00411942" w:rsidRDefault="004A6B92">
            <w:pPr>
              <w:pStyle w:val="P68B1DB1-Normal14"/>
              <w:spacing w:before="120"/>
              <w:jc w:val="right"/>
              <w:rPr>
                <w:bCs/>
                <w:szCs w:val="20"/>
              </w:rPr>
            </w:pPr>
            <w: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20B727" w14:textId="58988942" w:rsidR="00411942" w:rsidRDefault="004A6B92">
            <w:pPr>
              <w:pStyle w:val="P68B1DB1-Normal14"/>
              <w:spacing w:before="120"/>
              <w:jc w:val="right"/>
              <w:rPr>
                <w:bCs/>
                <w:szCs w:val="20"/>
              </w:rPr>
            </w:pPr>
            <w: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1F400B" w14:textId="6ED686DC" w:rsidR="00411942" w:rsidRDefault="004A6B92">
            <w:pPr>
              <w:pStyle w:val="P68B1DB1-Normal14"/>
              <w:spacing w:before="120"/>
              <w:jc w:val="right"/>
              <w:rPr>
                <w:bCs/>
                <w:szCs w:val="20"/>
              </w:rPr>
            </w:pPr>
            <w: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BE896A0" w14:textId="3700969D" w:rsidR="00411942" w:rsidRDefault="004A6B92">
            <w:pPr>
              <w:pStyle w:val="P68B1DB1-Normal14"/>
              <w:spacing w:before="120"/>
              <w:jc w:val="right"/>
              <w:rPr>
                <w:bCs/>
                <w:szCs w:val="20"/>
              </w:rPr>
            </w:pPr>
            <w:r>
              <w:t>2026</w:t>
            </w:r>
          </w:p>
        </w:tc>
      </w:tr>
      <w:tr w:rsidR="00411942" w14:paraId="496A2C95" w14:textId="77777777">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896AA09" w14:textId="33761CED" w:rsidR="00411942" w:rsidRDefault="004A6B92">
            <w:pPr>
              <w:pStyle w:val="P68B1DB1-Normal13"/>
              <w:spacing w:before="120"/>
              <w:rPr>
                <w:szCs w:val="20"/>
              </w:rPr>
            </w:pPr>
            <w:r>
              <w:t xml:space="preserve">Besoin total en </w:t>
            </w:r>
            <w:r w:rsidR="00E82D4F">
              <w:t xml:space="preserve">dollars </w:t>
            </w:r>
            <w:r>
              <w:t>US</w:t>
            </w:r>
          </w:p>
        </w:tc>
        <w:tc>
          <w:tcPr>
            <w:tcW w:w="960" w:type="dxa"/>
            <w:tcBorders>
              <w:top w:val="nil"/>
              <w:left w:val="nil"/>
              <w:bottom w:val="single" w:sz="4" w:space="0" w:color="auto"/>
              <w:right w:val="single" w:sz="4" w:space="0" w:color="auto"/>
            </w:tcBorders>
            <w:shd w:val="clear" w:color="auto" w:fill="auto"/>
            <w:noWrap/>
            <w:vAlign w:val="bottom"/>
            <w:hideMark/>
          </w:tcPr>
          <w:p w14:paraId="6E76F794" w14:textId="77777777" w:rsidR="00411942" w:rsidRDefault="004A6B92">
            <w:pPr>
              <w:pStyle w:val="P68B1DB1-Normal13"/>
              <w:spacing w:before="120"/>
              <w:rPr>
                <w:szCs w:val="20"/>
              </w:rPr>
            </w:pPr>
            <w:r>
              <w:t> </w:t>
            </w:r>
          </w:p>
        </w:tc>
        <w:tc>
          <w:tcPr>
            <w:tcW w:w="960" w:type="dxa"/>
            <w:tcBorders>
              <w:top w:val="nil"/>
              <w:left w:val="nil"/>
              <w:bottom w:val="single" w:sz="4" w:space="0" w:color="auto"/>
              <w:right w:val="single" w:sz="4" w:space="0" w:color="auto"/>
            </w:tcBorders>
            <w:shd w:val="clear" w:color="auto" w:fill="auto"/>
            <w:noWrap/>
            <w:vAlign w:val="bottom"/>
            <w:hideMark/>
          </w:tcPr>
          <w:p w14:paraId="6504CF31" w14:textId="77777777" w:rsidR="00411942" w:rsidRDefault="004A6B92">
            <w:pPr>
              <w:pStyle w:val="P68B1DB1-Normal13"/>
              <w:spacing w:before="120"/>
              <w:rPr>
                <w:szCs w:val="20"/>
              </w:rPr>
            </w:pPr>
            <w:r>
              <w:t> </w:t>
            </w:r>
          </w:p>
        </w:tc>
        <w:tc>
          <w:tcPr>
            <w:tcW w:w="960" w:type="dxa"/>
            <w:tcBorders>
              <w:top w:val="nil"/>
              <w:left w:val="nil"/>
              <w:bottom w:val="single" w:sz="4" w:space="0" w:color="auto"/>
              <w:right w:val="single" w:sz="4" w:space="0" w:color="auto"/>
            </w:tcBorders>
            <w:shd w:val="clear" w:color="auto" w:fill="auto"/>
            <w:noWrap/>
            <w:vAlign w:val="bottom"/>
            <w:hideMark/>
          </w:tcPr>
          <w:p w14:paraId="048D7055" w14:textId="77777777" w:rsidR="00411942" w:rsidRDefault="004A6B92">
            <w:pPr>
              <w:pStyle w:val="P68B1DB1-Normal13"/>
              <w:spacing w:before="120"/>
              <w:rPr>
                <w:szCs w:val="20"/>
              </w:rPr>
            </w:pPr>
            <w:r>
              <w:t> </w:t>
            </w:r>
          </w:p>
        </w:tc>
        <w:tc>
          <w:tcPr>
            <w:tcW w:w="960" w:type="dxa"/>
            <w:tcBorders>
              <w:top w:val="nil"/>
              <w:left w:val="nil"/>
              <w:bottom w:val="single" w:sz="4" w:space="0" w:color="auto"/>
              <w:right w:val="single" w:sz="4" w:space="0" w:color="auto"/>
            </w:tcBorders>
            <w:shd w:val="clear" w:color="auto" w:fill="auto"/>
            <w:noWrap/>
            <w:vAlign w:val="bottom"/>
            <w:hideMark/>
          </w:tcPr>
          <w:p w14:paraId="411B2513" w14:textId="77777777" w:rsidR="00411942" w:rsidRDefault="004A6B92">
            <w:pPr>
              <w:pStyle w:val="P68B1DB1-Normal13"/>
              <w:spacing w:before="120"/>
              <w:rPr>
                <w:szCs w:val="20"/>
              </w:rPr>
            </w:pPr>
            <w:r>
              <w:t> </w:t>
            </w:r>
          </w:p>
        </w:tc>
      </w:tr>
      <w:tr w:rsidR="00411942" w14:paraId="51D37B0F" w14:textId="77777777">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93D3270" w14:textId="77777777" w:rsidR="00411942" w:rsidRDefault="004A6B92">
            <w:pPr>
              <w:pStyle w:val="P68B1DB1-Normal13"/>
              <w:spacing w:before="120"/>
              <w:rPr>
                <w:szCs w:val="20"/>
              </w:rPr>
            </w:pPr>
            <w:r>
              <w:t>Ressources nationales</w:t>
            </w:r>
          </w:p>
        </w:tc>
        <w:tc>
          <w:tcPr>
            <w:tcW w:w="960" w:type="dxa"/>
            <w:tcBorders>
              <w:top w:val="nil"/>
              <w:left w:val="nil"/>
              <w:bottom w:val="single" w:sz="4" w:space="0" w:color="auto"/>
              <w:right w:val="single" w:sz="4" w:space="0" w:color="auto"/>
            </w:tcBorders>
            <w:shd w:val="clear" w:color="auto" w:fill="auto"/>
            <w:noWrap/>
            <w:vAlign w:val="bottom"/>
            <w:hideMark/>
          </w:tcPr>
          <w:p w14:paraId="7940345A" w14:textId="77777777" w:rsidR="00411942" w:rsidRDefault="004A6B92">
            <w:pPr>
              <w:pStyle w:val="P68B1DB1-Normal13"/>
              <w:spacing w:before="120"/>
              <w:rPr>
                <w:szCs w:val="20"/>
              </w:rPr>
            </w:pPr>
            <w:r>
              <w:t> </w:t>
            </w:r>
          </w:p>
        </w:tc>
        <w:tc>
          <w:tcPr>
            <w:tcW w:w="960" w:type="dxa"/>
            <w:tcBorders>
              <w:top w:val="nil"/>
              <w:left w:val="nil"/>
              <w:bottom w:val="single" w:sz="4" w:space="0" w:color="auto"/>
              <w:right w:val="single" w:sz="4" w:space="0" w:color="auto"/>
            </w:tcBorders>
            <w:shd w:val="clear" w:color="auto" w:fill="auto"/>
            <w:noWrap/>
            <w:vAlign w:val="bottom"/>
            <w:hideMark/>
          </w:tcPr>
          <w:p w14:paraId="2F256ADD" w14:textId="77777777" w:rsidR="00411942" w:rsidRDefault="004A6B92">
            <w:pPr>
              <w:pStyle w:val="P68B1DB1-Normal13"/>
              <w:spacing w:before="120"/>
              <w:rPr>
                <w:szCs w:val="20"/>
              </w:rPr>
            </w:pPr>
            <w:r>
              <w:t> </w:t>
            </w:r>
          </w:p>
        </w:tc>
        <w:tc>
          <w:tcPr>
            <w:tcW w:w="960" w:type="dxa"/>
            <w:tcBorders>
              <w:top w:val="nil"/>
              <w:left w:val="nil"/>
              <w:bottom w:val="single" w:sz="4" w:space="0" w:color="auto"/>
              <w:right w:val="single" w:sz="4" w:space="0" w:color="auto"/>
            </w:tcBorders>
            <w:shd w:val="clear" w:color="auto" w:fill="auto"/>
            <w:noWrap/>
            <w:vAlign w:val="bottom"/>
            <w:hideMark/>
          </w:tcPr>
          <w:p w14:paraId="49817807" w14:textId="77777777" w:rsidR="00411942" w:rsidRDefault="004A6B92">
            <w:pPr>
              <w:pStyle w:val="P68B1DB1-Normal13"/>
              <w:spacing w:before="120"/>
              <w:rPr>
                <w:szCs w:val="20"/>
              </w:rPr>
            </w:pPr>
            <w:r>
              <w:t> </w:t>
            </w:r>
          </w:p>
        </w:tc>
        <w:tc>
          <w:tcPr>
            <w:tcW w:w="960" w:type="dxa"/>
            <w:tcBorders>
              <w:top w:val="nil"/>
              <w:left w:val="nil"/>
              <w:bottom w:val="single" w:sz="4" w:space="0" w:color="auto"/>
              <w:right w:val="single" w:sz="4" w:space="0" w:color="auto"/>
            </w:tcBorders>
            <w:shd w:val="clear" w:color="auto" w:fill="auto"/>
            <w:noWrap/>
            <w:vAlign w:val="bottom"/>
            <w:hideMark/>
          </w:tcPr>
          <w:p w14:paraId="06E672EC" w14:textId="77777777" w:rsidR="00411942" w:rsidRDefault="004A6B92">
            <w:pPr>
              <w:pStyle w:val="P68B1DB1-Normal13"/>
              <w:spacing w:before="120"/>
              <w:rPr>
                <w:szCs w:val="20"/>
              </w:rPr>
            </w:pPr>
            <w:r>
              <w:t> </w:t>
            </w:r>
          </w:p>
        </w:tc>
      </w:tr>
      <w:tr w:rsidR="00411942" w:rsidRPr="00A039EA" w14:paraId="030D05CB" w14:textId="77777777">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924D88C" w14:textId="77777777" w:rsidR="00411942" w:rsidRPr="00E740A4" w:rsidRDefault="004A6B92">
            <w:pPr>
              <w:pStyle w:val="P68B1DB1-Normal13"/>
              <w:spacing w:before="120"/>
              <w:rPr>
                <w:szCs w:val="20"/>
                <w:lang w:val="fr-FR"/>
              </w:rPr>
            </w:pPr>
            <w:r w:rsidRPr="00E740A4">
              <w:rPr>
                <w:lang w:val="fr-FR"/>
              </w:rPr>
              <w:t>Ressources externes (insérer le nom)</w:t>
            </w:r>
          </w:p>
        </w:tc>
        <w:tc>
          <w:tcPr>
            <w:tcW w:w="960" w:type="dxa"/>
            <w:tcBorders>
              <w:top w:val="nil"/>
              <w:left w:val="nil"/>
              <w:bottom w:val="single" w:sz="4" w:space="0" w:color="auto"/>
              <w:right w:val="single" w:sz="4" w:space="0" w:color="auto"/>
            </w:tcBorders>
            <w:shd w:val="clear" w:color="auto" w:fill="auto"/>
            <w:noWrap/>
            <w:vAlign w:val="bottom"/>
            <w:hideMark/>
          </w:tcPr>
          <w:p w14:paraId="090CF10D" w14:textId="77777777" w:rsidR="00411942" w:rsidRPr="00E740A4" w:rsidRDefault="004A6B92">
            <w:pPr>
              <w:pStyle w:val="P68B1DB1-Normal13"/>
              <w:spacing w:before="120"/>
              <w:rPr>
                <w:szCs w:val="20"/>
                <w:lang w:val="fr-FR"/>
              </w:rPr>
            </w:pPr>
            <w:r w:rsidRPr="00E740A4">
              <w:rPr>
                <w:lang w:val="fr-FR"/>
              </w:rPr>
              <w:t> </w:t>
            </w:r>
          </w:p>
        </w:tc>
        <w:tc>
          <w:tcPr>
            <w:tcW w:w="960" w:type="dxa"/>
            <w:tcBorders>
              <w:top w:val="nil"/>
              <w:left w:val="nil"/>
              <w:bottom w:val="single" w:sz="4" w:space="0" w:color="auto"/>
              <w:right w:val="single" w:sz="4" w:space="0" w:color="auto"/>
            </w:tcBorders>
            <w:shd w:val="clear" w:color="auto" w:fill="auto"/>
            <w:noWrap/>
            <w:vAlign w:val="bottom"/>
            <w:hideMark/>
          </w:tcPr>
          <w:p w14:paraId="5088282F" w14:textId="77777777" w:rsidR="00411942" w:rsidRPr="00E740A4" w:rsidRDefault="004A6B92">
            <w:pPr>
              <w:pStyle w:val="P68B1DB1-Normal13"/>
              <w:spacing w:before="120"/>
              <w:rPr>
                <w:szCs w:val="20"/>
                <w:lang w:val="fr-FR"/>
              </w:rPr>
            </w:pPr>
            <w:r w:rsidRPr="00E740A4">
              <w:rPr>
                <w:lang w:val="fr-FR"/>
              </w:rPr>
              <w:t> </w:t>
            </w:r>
          </w:p>
        </w:tc>
        <w:tc>
          <w:tcPr>
            <w:tcW w:w="960" w:type="dxa"/>
            <w:tcBorders>
              <w:top w:val="nil"/>
              <w:left w:val="nil"/>
              <w:bottom w:val="single" w:sz="4" w:space="0" w:color="auto"/>
              <w:right w:val="single" w:sz="4" w:space="0" w:color="auto"/>
            </w:tcBorders>
            <w:shd w:val="clear" w:color="auto" w:fill="auto"/>
            <w:noWrap/>
            <w:vAlign w:val="bottom"/>
            <w:hideMark/>
          </w:tcPr>
          <w:p w14:paraId="127A7037" w14:textId="77777777" w:rsidR="00411942" w:rsidRPr="00E740A4" w:rsidRDefault="004A6B92">
            <w:pPr>
              <w:pStyle w:val="P68B1DB1-Normal13"/>
              <w:spacing w:before="120"/>
              <w:rPr>
                <w:szCs w:val="20"/>
                <w:lang w:val="fr-FR"/>
              </w:rPr>
            </w:pPr>
            <w:r w:rsidRPr="00E740A4">
              <w:rPr>
                <w:lang w:val="fr-FR"/>
              </w:rPr>
              <w:t> </w:t>
            </w:r>
          </w:p>
        </w:tc>
        <w:tc>
          <w:tcPr>
            <w:tcW w:w="960" w:type="dxa"/>
            <w:tcBorders>
              <w:top w:val="nil"/>
              <w:left w:val="nil"/>
              <w:bottom w:val="single" w:sz="4" w:space="0" w:color="auto"/>
              <w:right w:val="single" w:sz="4" w:space="0" w:color="auto"/>
            </w:tcBorders>
            <w:shd w:val="clear" w:color="auto" w:fill="auto"/>
            <w:noWrap/>
            <w:vAlign w:val="bottom"/>
            <w:hideMark/>
          </w:tcPr>
          <w:p w14:paraId="7E2F98FC" w14:textId="77777777" w:rsidR="00411942" w:rsidRPr="00E740A4" w:rsidRDefault="004A6B92">
            <w:pPr>
              <w:pStyle w:val="P68B1DB1-Normal13"/>
              <w:spacing w:before="120"/>
              <w:rPr>
                <w:szCs w:val="20"/>
                <w:lang w:val="fr-FR"/>
              </w:rPr>
            </w:pPr>
            <w:r w:rsidRPr="00E740A4">
              <w:rPr>
                <w:lang w:val="fr-FR"/>
              </w:rPr>
              <w:t> </w:t>
            </w:r>
          </w:p>
        </w:tc>
      </w:tr>
      <w:tr w:rsidR="00411942" w:rsidRPr="00A039EA" w14:paraId="71B14A6E" w14:textId="77777777">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5A3F52B" w14:textId="77777777" w:rsidR="00411942" w:rsidRPr="00E740A4" w:rsidRDefault="004A6B92">
            <w:pPr>
              <w:pStyle w:val="P68B1DB1-Normal13"/>
              <w:spacing w:before="120"/>
              <w:rPr>
                <w:szCs w:val="20"/>
                <w:lang w:val="fr-FR"/>
              </w:rPr>
            </w:pPr>
            <w:r w:rsidRPr="00E740A4">
              <w:rPr>
                <w:lang w:val="fr-FR"/>
              </w:rPr>
              <w:t>Ressources externes (insérer le nom)</w:t>
            </w:r>
          </w:p>
        </w:tc>
        <w:tc>
          <w:tcPr>
            <w:tcW w:w="960" w:type="dxa"/>
            <w:tcBorders>
              <w:top w:val="nil"/>
              <w:left w:val="nil"/>
              <w:bottom w:val="single" w:sz="4" w:space="0" w:color="auto"/>
              <w:right w:val="single" w:sz="4" w:space="0" w:color="auto"/>
            </w:tcBorders>
            <w:shd w:val="clear" w:color="auto" w:fill="auto"/>
            <w:noWrap/>
            <w:vAlign w:val="bottom"/>
            <w:hideMark/>
          </w:tcPr>
          <w:p w14:paraId="2E279A65" w14:textId="77777777" w:rsidR="00411942" w:rsidRPr="00E740A4" w:rsidRDefault="004A6B92">
            <w:pPr>
              <w:pStyle w:val="P68B1DB1-Normal13"/>
              <w:spacing w:before="120"/>
              <w:rPr>
                <w:szCs w:val="20"/>
                <w:lang w:val="fr-FR"/>
              </w:rPr>
            </w:pPr>
            <w:r w:rsidRPr="00E740A4">
              <w:rPr>
                <w:lang w:val="fr-FR"/>
              </w:rPr>
              <w:t> </w:t>
            </w:r>
          </w:p>
        </w:tc>
        <w:tc>
          <w:tcPr>
            <w:tcW w:w="960" w:type="dxa"/>
            <w:tcBorders>
              <w:top w:val="nil"/>
              <w:left w:val="nil"/>
              <w:bottom w:val="single" w:sz="4" w:space="0" w:color="auto"/>
              <w:right w:val="single" w:sz="4" w:space="0" w:color="auto"/>
            </w:tcBorders>
            <w:shd w:val="clear" w:color="auto" w:fill="auto"/>
            <w:noWrap/>
            <w:vAlign w:val="bottom"/>
            <w:hideMark/>
          </w:tcPr>
          <w:p w14:paraId="405ADF05" w14:textId="77777777" w:rsidR="00411942" w:rsidRPr="00E740A4" w:rsidRDefault="004A6B92">
            <w:pPr>
              <w:pStyle w:val="P68B1DB1-Normal13"/>
              <w:spacing w:before="120"/>
              <w:rPr>
                <w:szCs w:val="20"/>
                <w:lang w:val="fr-FR"/>
              </w:rPr>
            </w:pPr>
            <w:r w:rsidRPr="00E740A4">
              <w:rPr>
                <w:lang w:val="fr-FR"/>
              </w:rPr>
              <w:t> </w:t>
            </w:r>
          </w:p>
        </w:tc>
        <w:tc>
          <w:tcPr>
            <w:tcW w:w="960" w:type="dxa"/>
            <w:tcBorders>
              <w:top w:val="nil"/>
              <w:left w:val="nil"/>
              <w:bottom w:val="single" w:sz="4" w:space="0" w:color="auto"/>
              <w:right w:val="single" w:sz="4" w:space="0" w:color="auto"/>
            </w:tcBorders>
            <w:shd w:val="clear" w:color="auto" w:fill="auto"/>
            <w:noWrap/>
            <w:vAlign w:val="bottom"/>
            <w:hideMark/>
          </w:tcPr>
          <w:p w14:paraId="792AA3D8" w14:textId="77777777" w:rsidR="00411942" w:rsidRPr="00E740A4" w:rsidRDefault="004A6B92">
            <w:pPr>
              <w:pStyle w:val="P68B1DB1-Normal13"/>
              <w:spacing w:before="120"/>
              <w:rPr>
                <w:szCs w:val="20"/>
                <w:lang w:val="fr-FR"/>
              </w:rPr>
            </w:pPr>
            <w:r w:rsidRPr="00E740A4">
              <w:rPr>
                <w:lang w:val="fr-FR"/>
              </w:rPr>
              <w:t> </w:t>
            </w:r>
          </w:p>
        </w:tc>
        <w:tc>
          <w:tcPr>
            <w:tcW w:w="960" w:type="dxa"/>
            <w:tcBorders>
              <w:top w:val="nil"/>
              <w:left w:val="nil"/>
              <w:bottom w:val="single" w:sz="4" w:space="0" w:color="auto"/>
              <w:right w:val="single" w:sz="4" w:space="0" w:color="auto"/>
            </w:tcBorders>
            <w:shd w:val="clear" w:color="auto" w:fill="auto"/>
            <w:noWrap/>
            <w:vAlign w:val="bottom"/>
            <w:hideMark/>
          </w:tcPr>
          <w:p w14:paraId="73DC9E49" w14:textId="77777777" w:rsidR="00411942" w:rsidRPr="00E740A4" w:rsidRDefault="004A6B92">
            <w:pPr>
              <w:pStyle w:val="P68B1DB1-Normal13"/>
              <w:spacing w:before="120"/>
              <w:rPr>
                <w:szCs w:val="20"/>
                <w:lang w:val="fr-FR"/>
              </w:rPr>
            </w:pPr>
            <w:r w:rsidRPr="00E740A4">
              <w:rPr>
                <w:lang w:val="fr-FR"/>
              </w:rPr>
              <w:t> </w:t>
            </w:r>
          </w:p>
        </w:tc>
      </w:tr>
      <w:tr w:rsidR="00411942" w14:paraId="47B37CE0" w14:textId="77777777">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9815E2A" w14:textId="29F80AE0" w:rsidR="00411942" w:rsidRDefault="00EF6C8B">
            <w:pPr>
              <w:pStyle w:val="P68B1DB1-Normal13"/>
              <w:spacing w:before="120"/>
              <w:rPr>
                <w:szCs w:val="20"/>
              </w:rPr>
            </w:pPr>
            <w:r>
              <w:t>Écart financier</w:t>
            </w:r>
          </w:p>
        </w:tc>
        <w:tc>
          <w:tcPr>
            <w:tcW w:w="960" w:type="dxa"/>
            <w:tcBorders>
              <w:top w:val="nil"/>
              <w:left w:val="nil"/>
              <w:bottom w:val="single" w:sz="4" w:space="0" w:color="auto"/>
              <w:right w:val="single" w:sz="4" w:space="0" w:color="auto"/>
            </w:tcBorders>
            <w:shd w:val="clear" w:color="auto" w:fill="auto"/>
            <w:noWrap/>
            <w:vAlign w:val="bottom"/>
            <w:hideMark/>
          </w:tcPr>
          <w:p w14:paraId="0A294C51" w14:textId="77777777" w:rsidR="00411942" w:rsidRDefault="004A6B92">
            <w:pPr>
              <w:pStyle w:val="P68B1DB1-Normal13"/>
              <w:spacing w:before="120"/>
              <w:jc w:val="right"/>
              <w:rPr>
                <w:szCs w:val="20"/>
              </w:rPr>
            </w:pPr>
            <w:r>
              <w:t>0</w:t>
            </w:r>
          </w:p>
        </w:tc>
        <w:tc>
          <w:tcPr>
            <w:tcW w:w="960" w:type="dxa"/>
            <w:tcBorders>
              <w:top w:val="nil"/>
              <w:left w:val="nil"/>
              <w:bottom w:val="single" w:sz="4" w:space="0" w:color="auto"/>
              <w:right w:val="single" w:sz="4" w:space="0" w:color="auto"/>
            </w:tcBorders>
            <w:shd w:val="clear" w:color="auto" w:fill="auto"/>
            <w:noWrap/>
            <w:vAlign w:val="bottom"/>
            <w:hideMark/>
          </w:tcPr>
          <w:p w14:paraId="6D616530" w14:textId="77777777" w:rsidR="00411942" w:rsidRDefault="004A6B92">
            <w:pPr>
              <w:pStyle w:val="P68B1DB1-Normal13"/>
              <w:spacing w:before="120"/>
              <w:jc w:val="right"/>
              <w:rPr>
                <w:szCs w:val="20"/>
              </w:rPr>
            </w:pPr>
            <w:r>
              <w:t>0</w:t>
            </w:r>
          </w:p>
        </w:tc>
        <w:tc>
          <w:tcPr>
            <w:tcW w:w="960" w:type="dxa"/>
            <w:tcBorders>
              <w:top w:val="nil"/>
              <w:left w:val="nil"/>
              <w:bottom w:val="single" w:sz="4" w:space="0" w:color="auto"/>
              <w:right w:val="single" w:sz="4" w:space="0" w:color="auto"/>
            </w:tcBorders>
            <w:shd w:val="clear" w:color="auto" w:fill="auto"/>
            <w:noWrap/>
            <w:vAlign w:val="bottom"/>
            <w:hideMark/>
          </w:tcPr>
          <w:p w14:paraId="4C73D142" w14:textId="77777777" w:rsidR="00411942" w:rsidRDefault="004A6B92">
            <w:pPr>
              <w:pStyle w:val="P68B1DB1-Normal13"/>
              <w:spacing w:before="120"/>
              <w:jc w:val="right"/>
              <w:rPr>
                <w:szCs w:val="20"/>
              </w:rPr>
            </w:pPr>
            <w:r>
              <w:t>0</w:t>
            </w:r>
          </w:p>
        </w:tc>
        <w:tc>
          <w:tcPr>
            <w:tcW w:w="960" w:type="dxa"/>
            <w:tcBorders>
              <w:top w:val="nil"/>
              <w:left w:val="nil"/>
              <w:bottom w:val="single" w:sz="4" w:space="0" w:color="auto"/>
              <w:right w:val="single" w:sz="4" w:space="0" w:color="auto"/>
            </w:tcBorders>
            <w:shd w:val="clear" w:color="auto" w:fill="auto"/>
            <w:noWrap/>
            <w:vAlign w:val="bottom"/>
            <w:hideMark/>
          </w:tcPr>
          <w:p w14:paraId="122F9D55" w14:textId="77777777" w:rsidR="00411942" w:rsidRDefault="004A6B92">
            <w:pPr>
              <w:pStyle w:val="P68B1DB1-Normal13"/>
              <w:spacing w:before="120"/>
              <w:jc w:val="right"/>
              <w:rPr>
                <w:szCs w:val="20"/>
              </w:rPr>
            </w:pPr>
            <w:r>
              <w:t>0</w:t>
            </w:r>
          </w:p>
        </w:tc>
      </w:tr>
    </w:tbl>
    <w:p w14:paraId="309A915E" w14:textId="77777777" w:rsidR="00411942" w:rsidRDefault="00411942">
      <w:pPr>
        <w:spacing w:before="120"/>
        <w:rPr>
          <w:rFonts w:ascii="Arial" w:hAnsi="Arial" w:cs="Arial"/>
          <w:sz w:val="20"/>
          <w:szCs w:val="20"/>
        </w:rPr>
      </w:pPr>
    </w:p>
    <w:sectPr w:rsidR="0041194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2C2B" w14:textId="77777777" w:rsidR="00F46F31" w:rsidRDefault="00F46F31">
      <w:r>
        <w:separator/>
      </w:r>
    </w:p>
  </w:endnote>
  <w:endnote w:type="continuationSeparator" w:id="0">
    <w:p w14:paraId="06A4A3A9" w14:textId="77777777" w:rsidR="00F46F31" w:rsidRDefault="00F4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7992" w14:textId="77777777" w:rsidR="00641589" w:rsidRDefault="00641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973780"/>
      <w:docPartObj>
        <w:docPartGallery w:val="Page Numbers (Bottom of Page)"/>
        <w:docPartUnique/>
      </w:docPartObj>
    </w:sdtPr>
    <w:sdtEndPr>
      <w:rPr>
        <w:noProof/>
      </w:rPr>
    </w:sdtEndPr>
    <w:sdtContent>
      <w:p w14:paraId="00BBC7F3" w14:textId="2C4D4F9A" w:rsidR="00411942" w:rsidRDefault="004A6B92">
        <w:pPr>
          <w:pStyle w:val="Footer"/>
          <w:jc w:val="right"/>
        </w:pPr>
        <w:r>
          <w:fldChar w:fldCharType="begin"/>
        </w:r>
        <w:r>
          <w:instrText xml:space="preserve"> PAGE   \* MERGEFORMAT </w:instrText>
        </w:r>
        <w:r>
          <w:fldChar w:fldCharType="separate"/>
        </w:r>
        <w:r>
          <w:t>1</w:t>
        </w:r>
        <w:r>
          <w:fldChar w:fldCharType="end"/>
        </w:r>
      </w:p>
    </w:sdtContent>
  </w:sdt>
  <w:p w14:paraId="3EF25C51" w14:textId="77777777" w:rsidR="00411942" w:rsidRDefault="00411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EE20" w14:textId="77777777" w:rsidR="00641589" w:rsidRDefault="00641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61A9" w14:textId="77777777" w:rsidR="00F46F31" w:rsidRDefault="00F46F31">
      <w:r>
        <w:separator/>
      </w:r>
    </w:p>
  </w:footnote>
  <w:footnote w:type="continuationSeparator" w:id="0">
    <w:p w14:paraId="4F6570B2" w14:textId="77777777" w:rsidR="00F46F31" w:rsidRDefault="00F46F31">
      <w:r>
        <w:continuationSeparator/>
      </w:r>
    </w:p>
  </w:footnote>
  <w:footnote w:id="1">
    <w:p w14:paraId="5147CD8C" w14:textId="56D81260" w:rsidR="00411942" w:rsidRPr="00E740A4" w:rsidRDefault="004A6B92">
      <w:pPr>
        <w:pStyle w:val="FootnoteText"/>
        <w:rPr>
          <w:lang w:val="fr-FR"/>
        </w:rPr>
      </w:pPr>
      <w:r>
        <w:rPr>
          <w:rStyle w:val="FootnoteReference"/>
        </w:rPr>
        <w:footnoteRef/>
      </w:r>
      <w:r w:rsidR="00887F45">
        <w:rPr>
          <w:lang w:val="fr-FR"/>
        </w:rPr>
        <w:t> </w:t>
      </w:r>
      <w:r w:rsidRPr="00E740A4">
        <w:rPr>
          <w:lang w:val="fr-FR"/>
        </w:rPr>
        <w:t xml:space="preserve">SMART </w:t>
      </w:r>
      <w:r w:rsidR="000B498D">
        <w:rPr>
          <w:lang w:val="fr-FR"/>
        </w:rPr>
        <w:t xml:space="preserve">– </w:t>
      </w:r>
      <w:r w:rsidRPr="00E740A4">
        <w:rPr>
          <w:lang w:val="fr-FR"/>
        </w:rPr>
        <w:t>Spécifique Mesurable Atteignable Pertinent Assorti de délais</w:t>
      </w:r>
    </w:p>
  </w:footnote>
  <w:footnote w:id="2">
    <w:p w14:paraId="6B1A5359" w14:textId="65CF6F7B" w:rsidR="00E82D4F" w:rsidRPr="00887F45" w:rsidRDefault="004A6B92">
      <w:pPr>
        <w:rPr>
          <w:rFonts w:asciiTheme="minorHAnsi" w:hAnsiTheme="minorHAnsi" w:cstheme="minorHAnsi"/>
          <w:sz w:val="20"/>
          <w:szCs w:val="20"/>
          <w:lang w:val="fr-FR"/>
        </w:rPr>
      </w:pPr>
      <w:r w:rsidRPr="00887F45">
        <w:rPr>
          <w:rStyle w:val="FootnoteReference"/>
          <w:rFonts w:asciiTheme="minorHAnsi" w:hAnsiTheme="minorHAnsi" w:cstheme="minorHAnsi"/>
          <w:sz w:val="20"/>
          <w:szCs w:val="20"/>
        </w:rPr>
        <w:footnoteRef/>
      </w:r>
      <w:r w:rsidR="00E82D4F" w:rsidRPr="00887F45">
        <w:rPr>
          <w:rFonts w:asciiTheme="minorHAnsi" w:hAnsiTheme="minorHAnsi" w:cstheme="minorHAnsi"/>
          <w:sz w:val="20"/>
          <w:szCs w:val="20"/>
          <w:lang w:val="fr-FR"/>
        </w:rPr>
        <w:t> </w:t>
      </w:r>
      <w:r w:rsidRPr="00887F45">
        <w:rPr>
          <w:rFonts w:asciiTheme="minorHAnsi" w:hAnsiTheme="minorHAnsi" w:cstheme="minorHAnsi"/>
          <w:sz w:val="20"/>
          <w:szCs w:val="20"/>
          <w:lang w:val="fr-FR"/>
        </w:rPr>
        <w:t>Pour la recherche d</w:t>
      </w:r>
      <w:r w:rsidR="000B498D">
        <w:rPr>
          <w:rFonts w:asciiTheme="minorHAnsi" w:hAnsiTheme="minorHAnsi" w:cstheme="minorHAnsi"/>
          <w:sz w:val="20"/>
          <w:szCs w:val="20"/>
          <w:lang w:val="fr-FR"/>
        </w:rPr>
        <w:t>’</w:t>
      </w:r>
      <w:r w:rsidRPr="00887F45">
        <w:rPr>
          <w:rFonts w:asciiTheme="minorHAnsi" w:hAnsiTheme="minorHAnsi" w:cstheme="minorHAnsi"/>
          <w:sz w:val="20"/>
          <w:szCs w:val="20"/>
          <w:lang w:val="fr-FR"/>
        </w:rPr>
        <w:t xml:space="preserve">informations sur les approvisionnements par le Fonds mondial, voir : </w:t>
      </w:r>
    </w:p>
    <w:p w14:paraId="1968E8BC" w14:textId="78FF0972" w:rsidR="00411942" w:rsidRPr="00887F45" w:rsidRDefault="004A6B92">
      <w:pPr>
        <w:rPr>
          <w:rFonts w:asciiTheme="minorHAnsi" w:eastAsia="Calibri" w:hAnsiTheme="minorHAnsi" w:cstheme="minorHAnsi"/>
          <w:sz w:val="20"/>
          <w:szCs w:val="20"/>
        </w:rPr>
      </w:pPr>
      <w:r w:rsidRPr="00887F45">
        <w:rPr>
          <w:rFonts w:asciiTheme="minorHAnsi" w:eastAsia="Calibri" w:hAnsiTheme="minorHAnsi" w:cstheme="minorHAnsi"/>
          <w:sz w:val="20"/>
          <w:szCs w:val="20"/>
        </w:rPr>
        <w:t xml:space="preserve">ACTs: </w:t>
      </w:r>
      <w:hyperlink r:id="rId1" w:history="1">
        <w:r w:rsidRPr="00887F45">
          <w:rPr>
            <w:rFonts w:asciiTheme="minorHAnsi" w:eastAsia="Calibri" w:hAnsiTheme="minorHAnsi" w:cstheme="minorHAnsi"/>
            <w:sz w:val="20"/>
            <w:szCs w:val="20"/>
          </w:rPr>
          <w:t>http://www.theglobalfund.org/en/sourcing/acts/</w:t>
        </w:r>
      </w:hyperlink>
      <w:r w:rsidRPr="00887F45">
        <w:rPr>
          <w:rFonts w:asciiTheme="minorHAnsi" w:eastAsia="Calibri" w:hAnsiTheme="minorHAnsi" w:cstheme="minorHAnsi"/>
          <w:sz w:val="20"/>
          <w:szCs w:val="20"/>
        </w:rPr>
        <w:t xml:space="preserve"> </w:t>
      </w:r>
    </w:p>
    <w:p w14:paraId="28681647" w14:textId="1C74FE86" w:rsidR="00411942" w:rsidRPr="00887F45" w:rsidRDefault="004A6B92">
      <w:pPr>
        <w:pStyle w:val="P68B1DB1-FootnoteText15"/>
      </w:pPr>
      <w:r w:rsidRPr="00887F45">
        <w:rPr>
          <w:rFonts w:asciiTheme="minorHAnsi" w:hAnsiTheme="minorHAnsi" w:cstheme="minorHAnsi"/>
          <w:sz w:val="20"/>
        </w:rPr>
        <w:t xml:space="preserve">MII : </w:t>
      </w:r>
      <w:hyperlink r:id="rId2" w:history="1">
        <w:r w:rsidRPr="00887F45">
          <w:rPr>
            <w:rFonts w:asciiTheme="minorHAnsi" w:hAnsiTheme="minorHAnsi" w:cstheme="minorHAnsi"/>
            <w:sz w:val="20"/>
          </w:rPr>
          <w:t>http://www.theglobalfund.org/en/sourcing/ITNs/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5BA3" w14:textId="77777777" w:rsidR="00641589" w:rsidRDefault="00641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95EC" w14:textId="014AB881" w:rsidR="00411942" w:rsidRDefault="004A6B92">
    <w:pPr>
      <w:pStyle w:val="Header"/>
    </w:pPr>
    <w:r>
      <w:rPr>
        <w:noProof/>
      </w:rPr>
      <w:drawing>
        <wp:anchor distT="0" distB="0" distL="114300" distR="114300" simplePos="0" relativeHeight="251659264" behindDoc="1" locked="0" layoutInCell="1" allowOverlap="1" wp14:anchorId="7DF9A7C7" wp14:editId="236A2313">
          <wp:simplePos x="0" y="0"/>
          <wp:positionH relativeFrom="column">
            <wp:posOffset>210820</wp:posOffset>
          </wp:positionH>
          <wp:positionV relativeFrom="paragraph">
            <wp:posOffset>-267335</wp:posOffset>
          </wp:positionV>
          <wp:extent cx="1474470" cy="554990"/>
          <wp:effectExtent l="0" t="0" r="0" b="0"/>
          <wp:wrapTight wrapText="bothSides">
            <wp:wrapPolygon edited="0">
              <wp:start x="0" y="0"/>
              <wp:lineTo x="0" y="20760"/>
              <wp:lineTo x="21209" y="20760"/>
              <wp:lineTo x="212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4470" cy="5549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1533B9F" wp14:editId="56EA3EDC">
          <wp:simplePos x="0" y="0"/>
          <wp:positionH relativeFrom="column">
            <wp:posOffset>4164965</wp:posOffset>
          </wp:positionH>
          <wp:positionV relativeFrom="paragraph">
            <wp:posOffset>-113665</wp:posOffset>
          </wp:positionV>
          <wp:extent cx="1104265" cy="391795"/>
          <wp:effectExtent l="0" t="0" r="635" b="8255"/>
          <wp:wrapTight wrapText="bothSides">
            <wp:wrapPolygon edited="0">
              <wp:start x="0" y="0"/>
              <wp:lineTo x="0" y="21005"/>
              <wp:lineTo x="21240" y="21005"/>
              <wp:lineTo x="21240" y="10502"/>
              <wp:lineTo x="63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391795"/>
                  </a:xfrm>
                  <a:prstGeom prst="rect">
                    <a:avLst/>
                  </a:prstGeom>
                  <a:noFill/>
                </pic:spPr>
              </pic:pic>
            </a:graphicData>
          </a:graphic>
          <wp14:sizeRelH relativeFrom="margin">
            <wp14:pctWidth>0</wp14:pctWidth>
          </wp14:sizeRelH>
          <wp14:sizeRelV relativeFrom="margin">
            <wp14:pctHeight>0</wp14:pctHeight>
          </wp14:sizeRelV>
        </wp:anchor>
      </w:drawing>
    </w:r>
  </w:p>
  <w:p w14:paraId="634C6F6D" w14:textId="60EDE0C8" w:rsidR="00411942" w:rsidRDefault="004A6B92">
    <w:pPr>
      <w:pStyle w:val="Header"/>
    </w:pPr>
    <w:r>
      <w:rPr>
        <w:noProof/>
      </w:rPr>
      <mc:AlternateContent>
        <mc:Choice Requires="wps">
          <w:drawing>
            <wp:anchor distT="0" distB="0" distL="114300" distR="114300" simplePos="0" relativeHeight="251660288" behindDoc="0" locked="0" layoutInCell="1" allowOverlap="1" wp14:anchorId="20D53199" wp14:editId="74E3ADA5">
              <wp:simplePos x="0" y="0"/>
              <wp:positionH relativeFrom="column">
                <wp:posOffset>-36999</wp:posOffset>
              </wp:positionH>
              <wp:positionV relativeFrom="paragraph">
                <wp:posOffset>218513</wp:posOffset>
              </wp:positionV>
              <wp:extent cx="602552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25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7AC7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pt,17.2pt" to="471.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" strokecolor="#4579b8 [304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1F84" w14:textId="77777777" w:rsidR="00641589" w:rsidRDefault="00641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6C3A"/>
    <w:multiLevelType w:val="hybridMultilevel"/>
    <w:tmpl w:val="C48487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FE344A"/>
    <w:multiLevelType w:val="hybridMultilevel"/>
    <w:tmpl w:val="8B5AA5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E73694"/>
    <w:multiLevelType w:val="hybridMultilevel"/>
    <w:tmpl w:val="F33E49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D10BF"/>
    <w:multiLevelType w:val="hybridMultilevel"/>
    <w:tmpl w:val="E8B8910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D877E13"/>
    <w:multiLevelType w:val="hybridMultilevel"/>
    <w:tmpl w:val="94A0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10929"/>
    <w:multiLevelType w:val="multilevel"/>
    <w:tmpl w:val="C86EE27A"/>
    <w:lvl w:ilvl="0">
      <w:start w:val="1"/>
      <w:numFmt w:val="bullet"/>
      <w:lvlText w:val=""/>
      <w:lvlJc w:val="left"/>
      <w:pPr>
        <w:ind w:left="720" w:hanging="360"/>
      </w:pPr>
      <w:rPr>
        <w:rFonts w:ascii="Symbol" w:hAnsi="Symbol" w:hint="default"/>
      </w:rPr>
    </w:lvl>
    <w:lvl w:ilvl="1">
      <w:start w:val="2"/>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256F3E0F"/>
    <w:multiLevelType w:val="hybridMultilevel"/>
    <w:tmpl w:val="30D83E34"/>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91EDD"/>
    <w:multiLevelType w:val="hybridMultilevel"/>
    <w:tmpl w:val="C7FC9F38"/>
    <w:lvl w:ilvl="0" w:tplc="967A35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B5F77"/>
    <w:multiLevelType w:val="hybridMultilevel"/>
    <w:tmpl w:val="29726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22066A"/>
    <w:multiLevelType w:val="hybridMultilevel"/>
    <w:tmpl w:val="5344E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97396"/>
    <w:multiLevelType w:val="hybridMultilevel"/>
    <w:tmpl w:val="1CFE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F768D"/>
    <w:multiLevelType w:val="multilevel"/>
    <w:tmpl w:val="A2E2317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CEF7C54"/>
    <w:multiLevelType w:val="hybridMultilevel"/>
    <w:tmpl w:val="B43046C8"/>
    <w:lvl w:ilvl="0" w:tplc="F8602230">
      <w:start w:val="1"/>
      <w:numFmt w:val="bullet"/>
      <w:lvlText w:val=""/>
      <w:lvlJc w:val="left"/>
      <w:pPr>
        <w:tabs>
          <w:tab w:val="num" w:pos="1004"/>
        </w:tabs>
        <w:ind w:left="1004" w:hanging="360"/>
      </w:pPr>
      <w:rPr>
        <w:rFonts w:ascii="Symbol" w:hAnsi="Symbol" w:hint="default"/>
        <w:sz w:val="20"/>
        <w:szCs w:val="20"/>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D7C332D"/>
    <w:multiLevelType w:val="hybridMultilevel"/>
    <w:tmpl w:val="466C0FE0"/>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0706A9"/>
    <w:multiLevelType w:val="hybridMultilevel"/>
    <w:tmpl w:val="500A1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470B9"/>
    <w:multiLevelType w:val="hybridMultilevel"/>
    <w:tmpl w:val="6F04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33409857">
    <w:abstractNumId w:val="8"/>
  </w:num>
  <w:num w:numId="2" w16cid:durableId="1395474038">
    <w:abstractNumId w:val="14"/>
  </w:num>
  <w:num w:numId="3" w16cid:durableId="1608538536">
    <w:abstractNumId w:val="3"/>
  </w:num>
  <w:num w:numId="4" w16cid:durableId="101384995">
    <w:abstractNumId w:val="11"/>
  </w:num>
  <w:num w:numId="5" w16cid:durableId="170804278">
    <w:abstractNumId w:val="1"/>
  </w:num>
  <w:num w:numId="6" w16cid:durableId="1472076">
    <w:abstractNumId w:val="2"/>
  </w:num>
  <w:num w:numId="7" w16cid:durableId="1843084629">
    <w:abstractNumId w:val="0"/>
  </w:num>
  <w:num w:numId="8" w16cid:durableId="2102604046">
    <w:abstractNumId w:val="7"/>
  </w:num>
  <w:num w:numId="9" w16cid:durableId="1739593754">
    <w:abstractNumId w:val="12"/>
  </w:num>
  <w:num w:numId="10" w16cid:durableId="470099363">
    <w:abstractNumId w:val="10"/>
  </w:num>
  <w:num w:numId="11" w16cid:durableId="674723257">
    <w:abstractNumId w:val="15"/>
  </w:num>
  <w:num w:numId="12" w16cid:durableId="180170463">
    <w:abstractNumId w:val="5"/>
  </w:num>
  <w:num w:numId="13" w16cid:durableId="1524900476">
    <w:abstractNumId w:val="4"/>
  </w:num>
  <w:num w:numId="14" w16cid:durableId="845560791">
    <w:abstractNumId w:val="6"/>
  </w:num>
  <w:num w:numId="15" w16cid:durableId="201982523">
    <w:abstractNumId w:val="13"/>
  </w:num>
  <w:num w:numId="16" w16cid:durableId="600839715">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712525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26"/>
    <w:rsid w:val="00001595"/>
    <w:rsid w:val="00001D8D"/>
    <w:rsid w:val="00002729"/>
    <w:rsid w:val="000053AB"/>
    <w:rsid w:val="00010C82"/>
    <w:rsid w:val="00013755"/>
    <w:rsid w:val="00014122"/>
    <w:rsid w:val="00017BBC"/>
    <w:rsid w:val="00020FF5"/>
    <w:rsid w:val="00022AF3"/>
    <w:rsid w:val="00024C96"/>
    <w:rsid w:val="0002780D"/>
    <w:rsid w:val="00032F1C"/>
    <w:rsid w:val="00036718"/>
    <w:rsid w:val="0004174B"/>
    <w:rsid w:val="00044223"/>
    <w:rsid w:val="0004459B"/>
    <w:rsid w:val="00045A48"/>
    <w:rsid w:val="00050141"/>
    <w:rsid w:val="00050A71"/>
    <w:rsid w:val="000518E3"/>
    <w:rsid w:val="0005321A"/>
    <w:rsid w:val="0005363A"/>
    <w:rsid w:val="000545D1"/>
    <w:rsid w:val="000556EA"/>
    <w:rsid w:val="00060140"/>
    <w:rsid w:val="00061F7E"/>
    <w:rsid w:val="00063AD8"/>
    <w:rsid w:val="00066CD9"/>
    <w:rsid w:val="00080B49"/>
    <w:rsid w:val="000935C6"/>
    <w:rsid w:val="00095E15"/>
    <w:rsid w:val="000976AC"/>
    <w:rsid w:val="000A56CF"/>
    <w:rsid w:val="000B1730"/>
    <w:rsid w:val="000B2654"/>
    <w:rsid w:val="000B3F6D"/>
    <w:rsid w:val="000B498D"/>
    <w:rsid w:val="000B5601"/>
    <w:rsid w:val="000D02DE"/>
    <w:rsid w:val="000D21FB"/>
    <w:rsid w:val="000E33E2"/>
    <w:rsid w:val="000E376C"/>
    <w:rsid w:val="000E4D49"/>
    <w:rsid w:val="000F3F10"/>
    <w:rsid w:val="000F57D4"/>
    <w:rsid w:val="000F6493"/>
    <w:rsid w:val="000F6D5F"/>
    <w:rsid w:val="0010254E"/>
    <w:rsid w:val="00103C94"/>
    <w:rsid w:val="00107946"/>
    <w:rsid w:val="0011320B"/>
    <w:rsid w:val="001146EF"/>
    <w:rsid w:val="00121503"/>
    <w:rsid w:val="00126139"/>
    <w:rsid w:val="001304B2"/>
    <w:rsid w:val="0013318D"/>
    <w:rsid w:val="00134906"/>
    <w:rsid w:val="00136166"/>
    <w:rsid w:val="0013687E"/>
    <w:rsid w:val="0014163E"/>
    <w:rsid w:val="00146FB3"/>
    <w:rsid w:val="0015452E"/>
    <w:rsid w:val="00155395"/>
    <w:rsid w:val="001607C9"/>
    <w:rsid w:val="00163021"/>
    <w:rsid w:val="00170D46"/>
    <w:rsid w:val="00170FF8"/>
    <w:rsid w:val="00171AA9"/>
    <w:rsid w:val="0017334D"/>
    <w:rsid w:val="001752B5"/>
    <w:rsid w:val="00176BDB"/>
    <w:rsid w:val="001826BA"/>
    <w:rsid w:val="00187B0B"/>
    <w:rsid w:val="00192E17"/>
    <w:rsid w:val="00193F42"/>
    <w:rsid w:val="0019405B"/>
    <w:rsid w:val="001A096A"/>
    <w:rsid w:val="001A20B5"/>
    <w:rsid w:val="001B2537"/>
    <w:rsid w:val="001B4D58"/>
    <w:rsid w:val="001C661B"/>
    <w:rsid w:val="001C677A"/>
    <w:rsid w:val="001D1C53"/>
    <w:rsid w:val="001D21D7"/>
    <w:rsid w:val="001E2F1D"/>
    <w:rsid w:val="001E584A"/>
    <w:rsid w:val="001E72A3"/>
    <w:rsid w:val="001F1AAF"/>
    <w:rsid w:val="001F7D9B"/>
    <w:rsid w:val="00201318"/>
    <w:rsid w:val="002038CE"/>
    <w:rsid w:val="00206C40"/>
    <w:rsid w:val="0020756E"/>
    <w:rsid w:val="002133CE"/>
    <w:rsid w:val="002151E1"/>
    <w:rsid w:val="00223609"/>
    <w:rsid w:val="00231B1C"/>
    <w:rsid w:val="00232957"/>
    <w:rsid w:val="00234CC1"/>
    <w:rsid w:val="002379E2"/>
    <w:rsid w:val="00240422"/>
    <w:rsid w:val="00242529"/>
    <w:rsid w:val="00242F49"/>
    <w:rsid w:val="002447AC"/>
    <w:rsid w:val="00246A1A"/>
    <w:rsid w:val="002511DB"/>
    <w:rsid w:val="002524EF"/>
    <w:rsid w:val="002529C6"/>
    <w:rsid w:val="00260FC1"/>
    <w:rsid w:val="002618CF"/>
    <w:rsid w:val="0027717C"/>
    <w:rsid w:val="00290878"/>
    <w:rsid w:val="002917C6"/>
    <w:rsid w:val="00297A8D"/>
    <w:rsid w:val="002B1E65"/>
    <w:rsid w:val="002C07AC"/>
    <w:rsid w:val="002C5BAD"/>
    <w:rsid w:val="002D11B6"/>
    <w:rsid w:val="002D3901"/>
    <w:rsid w:val="002D551C"/>
    <w:rsid w:val="002D739A"/>
    <w:rsid w:val="002F1512"/>
    <w:rsid w:val="002F586B"/>
    <w:rsid w:val="002F62E0"/>
    <w:rsid w:val="00300E73"/>
    <w:rsid w:val="003021C1"/>
    <w:rsid w:val="00306124"/>
    <w:rsid w:val="00307774"/>
    <w:rsid w:val="0031465A"/>
    <w:rsid w:val="00322460"/>
    <w:rsid w:val="00325CD5"/>
    <w:rsid w:val="00326929"/>
    <w:rsid w:val="00330C6C"/>
    <w:rsid w:val="00330F0C"/>
    <w:rsid w:val="00335A6E"/>
    <w:rsid w:val="00336E53"/>
    <w:rsid w:val="003379C1"/>
    <w:rsid w:val="0034572F"/>
    <w:rsid w:val="00351497"/>
    <w:rsid w:val="00352595"/>
    <w:rsid w:val="00352A7B"/>
    <w:rsid w:val="00353DD2"/>
    <w:rsid w:val="00362A3A"/>
    <w:rsid w:val="00364C6D"/>
    <w:rsid w:val="00366DB0"/>
    <w:rsid w:val="00367BC4"/>
    <w:rsid w:val="00381D51"/>
    <w:rsid w:val="00383E89"/>
    <w:rsid w:val="00384290"/>
    <w:rsid w:val="00384F38"/>
    <w:rsid w:val="0039152B"/>
    <w:rsid w:val="00391C3D"/>
    <w:rsid w:val="00391E6D"/>
    <w:rsid w:val="00392532"/>
    <w:rsid w:val="00396A18"/>
    <w:rsid w:val="003A10D8"/>
    <w:rsid w:val="003A49BC"/>
    <w:rsid w:val="003A5743"/>
    <w:rsid w:val="003B5C4E"/>
    <w:rsid w:val="003C20AB"/>
    <w:rsid w:val="003D1A5D"/>
    <w:rsid w:val="003E0DC7"/>
    <w:rsid w:val="003E5DA1"/>
    <w:rsid w:val="003F043E"/>
    <w:rsid w:val="003F50EA"/>
    <w:rsid w:val="004006B4"/>
    <w:rsid w:val="004036F7"/>
    <w:rsid w:val="00406285"/>
    <w:rsid w:val="00411942"/>
    <w:rsid w:val="00414321"/>
    <w:rsid w:val="004204FF"/>
    <w:rsid w:val="004206B4"/>
    <w:rsid w:val="00421799"/>
    <w:rsid w:val="00426FB3"/>
    <w:rsid w:val="00441A15"/>
    <w:rsid w:val="00452CFA"/>
    <w:rsid w:val="00456A7F"/>
    <w:rsid w:val="0046077D"/>
    <w:rsid w:val="00461CB6"/>
    <w:rsid w:val="00472176"/>
    <w:rsid w:val="00476874"/>
    <w:rsid w:val="00476FAC"/>
    <w:rsid w:val="0047758D"/>
    <w:rsid w:val="00486E99"/>
    <w:rsid w:val="004930F4"/>
    <w:rsid w:val="00494789"/>
    <w:rsid w:val="004960D1"/>
    <w:rsid w:val="004A1F0D"/>
    <w:rsid w:val="004A285D"/>
    <w:rsid w:val="004A6B92"/>
    <w:rsid w:val="004A7A70"/>
    <w:rsid w:val="004B1F69"/>
    <w:rsid w:val="004B3128"/>
    <w:rsid w:val="004B3703"/>
    <w:rsid w:val="004B655B"/>
    <w:rsid w:val="004C4DC7"/>
    <w:rsid w:val="004D2DD2"/>
    <w:rsid w:val="004D41A7"/>
    <w:rsid w:val="004D7356"/>
    <w:rsid w:val="004E6363"/>
    <w:rsid w:val="004F7284"/>
    <w:rsid w:val="0050376D"/>
    <w:rsid w:val="005048E7"/>
    <w:rsid w:val="005065F1"/>
    <w:rsid w:val="00506DF0"/>
    <w:rsid w:val="00522D80"/>
    <w:rsid w:val="00525023"/>
    <w:rsid w:val="005250D9"/>
    <w:rsid w:val="00525916"/>
    <w:rsid w:val="005274A9"/>
    <w:rsid w:val="0053632F"/>
    <w:rsid w:val="00536682"/>
    <w:rsid w:val="00541ABF"/>
    <w:rsid w:val="00543789"/>
    <w:rsid w:val="00551081"/>
    <w:rsid w:val="00556287"/>
    <w:rsid w:val="00561FCB"/>
    <w:rsid w:val="00562814"/>
    <w:rsid w:val="00571EAF"/>
    <w:rsid w:val="00572C02"/>
    <w:rsid w:val="00576B59"/>
    <w:rsid w:val="005810C5"/>
    <w:rsid w:val="00583C9D"/>
    <w:rsid w:val="005843F1"/>
    <w:rsid w:val="00584800"/>
    <w:rsid w:val="005A39CA"/>
    <w:rsid w:val="005A71FE"/>
    <w:rsid w:val="005B0B5D"/>
    <w:rsid w:val="005B37B3"/>
    <w:rsid w:val="005B7C0A"/>
    <w:rsid w:val="005C1E38"/>
    <w:rsid w:val="005C474E"/>
    <w:rsid w:val="005C5652"/>
    <w:rsid w:val="005D2ED1"/>
    <w:rsid w:val="005D500D"/>
    <w:rsid w:val="005D61F3"/>
    <w:rsid w:val="005E0FE5"/>
    <w:rsid w:val="005E1582"/>
    <w:rsid w:val="005F0B4B"/>
    <w:rsid w:val="005F2972"/>
    <w:rsid w:val="005F5322"/>
    <w:rsid w:val="005F7487"/>
    <w:rsid w:val="0060054C"/>
    <w:rsid w:val="00603BA0"/>
    <w:rsid w:val="00610B79"/>
    <w:rsid w:val="00613CE2"/>
    <w:rsid w:val="00620700"/>
    <w:rsid w:val="00623B1A"/>
    <w:rsid w:val="006275D0"/>
    <w:rsid w:val="00636632"/>
    <w:rsid w:val="006411C4"/>
    <w:rsid w:val="00641589"/>
    <w:rsid w:val="00644FE3"/>
    <w:rsid w:val="00652048"/>
    <w:rsid w:val="00661E6D"/>
    <w:rsid w:val="00662253"/>
    <w:rsid w:val="00663A68"/>
    <w:rsid w:val="00663C39"/>
    <w:rsid w:val="00665560"/>
    <w:rsid w:val="00666211"/>
    <w:rsid w:val="006869FB"/>
    <w:rsid w:val="006913AA"/>
    <w:rsid w:val="006919A1"/>
    <w:rsid w:val="00693AD1"/>
    <w:rsid w:val="0069619D"/>
    <w:rsid w:val="006A03A3"/>
    <w:rsid w:val="006A6518"/>
    <w:rsid w:val="006B0D79"/>
    <w:rsid w:val="006B1BBA"/>
    <w:rsid w:val="006B1EF7"/>
    <w:rsid w:val="006B6D5C"/>
    <w:rsid w:val="006C0B72"/>
    <w:rsid w:val="006C1764"/>
    <w:rsid w:val="006C438D"/>
    <w:rsid w:val="006C5915"/>
    <w:rsid w:val="006D1F0A"/>
    <w:rsid w:val="006D50DC"/>
    <w:rsid w:val="006E12ED"/>
    <w:rsid w:val="006E2176"/>
    <w:rsid w:val="006E5B52"/>
    <w:rsid w:val="006F2A0A"/>
    <w:rsid w:val="006F30A4"/>
    <w:rsid w:val="006F4480"/>
    <w:rsid w:val="006F55FF"/>
    <w:rsid w:val="006F685D"/>
    <w:rsid w:val="006F7A44"/>
    <w:rsid w:val="0070093B"/>
    <w:rsid w:val="00705A72"/>
    <w:rsid w:val="00707308"/>
    <w:rsid w:val="00722974"/>
    <w:rsid w:val="00722E16"/>
    <w:rsid w:val="00723D2E"/>
    <w:rsid w:val="00724101"/>
    <w:rsid w:val="00724FF7"/>
    <w:rsid w:val="00735824"/>
    <w:rsid w:val="007438ED"/>
    <w:rsid w:val="00744825"/>
    <w:rsid w:val="00752778"/>
    <w:rsid w:val="007623EC"/>
    <w:rsid w:val="00763BAE"/>
    <w:rsid w:val="00771AD7"/>
    <w:rsid w:val="00777E40"/>
    <w:rsid w:val="00783AA2"/>
    <w:rsid w:val="0078592C"/>
    <w:rsid w:val="00787C4A"/>
    <w:rsid w:val="007A03D3"/>
    <w:rsid w:val="007A3CD0"/>
    <w:rsid w:val="007A648F"/>
    <w:rsid w:val="007A660D"/>
    <w:rsid w:val="007A7518"/>
    <w:rsid w:val="007B272B"/>
    <w:rsid w:val="007B348F"/>
    <w:rsid w:val="007B4B0A"/>
    <w:rsid w:val="007C0869"/>
    <w:rsid w:val="007C1BF2"/>
    <w:rsid w:val="007C67FD"/>
    <w:rsid w:val="007C7A37"/>
    <w:rsid w:val="007D46C2"/>
    <w:rsid w:val="007D5468"/>
    <w:rsid w:val="007E15EB"/>
    <w:rsid w:val="007E40E4"/>
    <w:rsid w:val="007F3FB4"/>
    <w:rsid w:val="00803737"/>
    <w:rsid w:val="00817F5E"/>
    <w:rsid w:val="008220C2"/>
    <w:rsid w:val="00822FBB"/>
    <w:rsid w:val="00827EFB"/>
    <w:rsid w:val="00827FD2"/>
    <w:rsid w:val="00830A78"/>
    <w:rsid w:val="00831C03"/>
    <w:rsid w:val="0083524E"/>
    <w:rsid w:val="0083728E"/>
    <w:rsid w:val="00844AE3"/>
    <w:rsid w:val="00847768"/>
    <w:rsid w:val="00850C27"/>
    <w:rsid w:val="00862750"/>
    <w:rsid w:val="00863305"/>
    <w:rsid w:val="00864E70"/>
    <w:rsid w:val="00873E03"/>
    <w:rsid w:val="00876B37"/>
    <w:rsid w:val="00880F3A"/>
    <w:rsid w:val="0088477B"/>
    <w:rsid w:val="008856F7"/>
    <w:rsid w:val="00885952"/>
    <w:rsid w:val="00885AEA"/>
    <w:rsid w:val="00887F45"/>
    <w:rsid w:val="00890266"/>
    <w:rsid w:val="008A0431"/>
    <w:rsid w:val="008A2D22"/>
    <w:rsid w:val="008A79EA"/>
    <w:rsid w:val="008B02AA"/>
    <w:rsid w:val="008B0F20"/>
    <w:rsid w:val="008B22D7"/>
    <w:rsid w:val="008B37BF"/>
    <w:rsid w:val="008B55CC"/>
    <w:rsid w:val="008C2327"/>
    <w:rsid w:val="008D6502"/>
    <w:rsid w:val="008E0592"/>
    <w:rsid w:val="008E5F12"/>
    <w:rsid w:val="008E7065"/>
    <w:rsid w:val="008F2B2F"/>
    <w:rsid w:val="008F31AA"/>
    <w:rsid w:val="00901E34"/>
    <w:rsid w:val="00902194"/>
    <w:rsid w:val="009038F6"/>
    <w:rsid w:val="00907362"/>
    <w:rsid w:val="00913E3F"/>
    <w:rsid w:val="009215ED"/>
    <w:rsid w:val="009215F6"/>
    <w:rsid w:val="009245CA"/>
    <w:rsid w:val="009266DF"/>
    <w:rsid w:val="00927CBD"/>
    <w:rsid w:val="00941864"/>
    <w:rsid w:val="00943F64"/>
    <w:rsid w:val="00957F67"/>
    <w:rsid w:val="009641D7"/>
    <w:rsid w:val="00964B91"/>
    <w:rsid w:val="00971680"/>
    <w:rsid w:val="00971D63"/>
    <w:rsid w:val="00973D7A"/>
    <w:rsid w:val="0097452F"/>
    <w:rsid w:val="00976035"/>
    <w:rsid w:val="009852A4"/>
    <w:rsid w:val="00986133"/>
    <w:rsid w:val="009904DE"/>
    <w:rsid w:val="00990F2D"/>
    <w:rsid w:val="009917C3"/>
    <w:rsid w:val="0099321F"/>
    <w:rsid w:val="009979D8"/>
    <w:rsid w:val="009A1DEA"/>
    <w:rsid w:val="009A30AC"/>
    <w:rsid w:val="009A5F01"/>
    <w:rsid w:val="009A6995"/>
    <w:rsid w:val="009B171A"/>
    <w:rsid w:val="009B5C1E"/>
    <w:rsid w:val="009C207A"/>
    <w:rsid w:val="009C6A1B"/>
    <w:rsid w:val="009D19F7"/>
    <w:rsid w:val="009E2AC9"/>
    <w:rsid w:val="009E680E"/>
    <w:rsid w:val="009E681B"/>
    <w:rsid w:val="009E6878"/>
    <w:rsid w:val="009E7B44"/>
    <w:rsid w:val="009F0BAB"/>
    <w:rsid w:val="009F1FA4"/>
    <w:rsid w:val="009F483B"/>
    <w:rsid w:val="00A004D8"/>
    <w:rsid w:val="00A006AA"/>
    <w:rsid w:val="00A039EA"/>
    <w:rsid w:val="00A21792"/>
    <w:rsid w:val="00A25870"/>
    <w:rsid w:val="00A2755F"/>
    <w:rsid w:val="00A3384B"/>
    <w:rsid w:val="00A34497"/>
    <w:rsid w:val="00A47CFF"/>
    <w:rsid w:val="00A5145B"/>
    <w:rsid w:val="00A51E43"/>
    <w:rsid w:val="00A540CB"/>
    <w:rsid w:val="00A55FAB"/>
    <w:rsid w:val="00A606AA"/>
    <w:rsid w:val="00A6629D"/>
    <w:rsid w:val="00A720C4"/>
    <w:rsid w:val="00A74255"/>
    <w:rsid w:val="00A746AB"/>
    <w:rsid w:val="00A765F6"/>
    <w:rsid w:val="00A83AFF"/>
    <w:rsid w:val="00A96837"/>
    <w:rsid w:val="00A97817"/>
    <w:rsid w:val="00A97C34"/>
    <w:rsid w:val="00AA354B"/>
    <w:rsid w:val="00AA5ECD"/>
    <w:rsid w:val="00AB7A26"/>
    <w:rsid w:val="00AD2152"/>
    <w:rsid w:val="00AD6DA5"/>
    <w:rsid w:val="00AE0EA7"/>
    <w:rsid w:val="00AE2866"/>
    <w:rsid w:val="00AE3515"/>
    <w:rsid w:val="00AE3D38"/>
    <w:rsid w:val="00AE7FDA"/>
    <w:rsid w:val="00AF1C88"/>
    <w:rsid w:val="00AF21F4"/>
    <w:rsid w:val="00AF2853"/>
    <w:rsid w:val="00AF423C"/>
    <w:rsid w:val="00AF5561"/>
    <w:rsid w:val="00AF59D3"/>
    <w:rsid w:val="00AF5A98"/>
    <w:rsid w:val="00B05861"/>
    <w:rsid w:val="00B06985"/>
    <w:rsid w:val="00B1084A"/>
    <w:rsid w:val="00B126C0"/>
    <w:rsid w:val="00B14B32"/>
    <w:rsid w:val="00B14C6D"/>
    <w:rsid w:val="00B22A33"/>
    <w:rsid w:val="00B24DCF"/>
    <w:rsid w:val="00B24EE8"/>
    <w:rsid w:val="00B267E0"/>
    <w:rsid w:val="00B34DA7"/>
    <w:rsid w:val="00B379F2"/>
    <w:rsid w:val="00B40835"/>
    <w:rsid w:val="00B464FB"/>
    <w:rsid w:val="00B5077D"/>
    <w:rsid w:val="00B510F4"/>
    <w:rsid w:val="00B520AF"/>
    <w:rsid w:val="00B56E8B"/>
    <w:rsid w:val="00B66503"/>
    <w:rsid w:val="00B702DA"/>
    <w:rsid w:val="00B74B25"/>
    <w:rsid w:val="00B7569E"/>
    <w:rsid w:val="00B82DA7"/>
    <w:rsid w:val="00B830EF"/>
    <w:rsid w:val="00B86B72"/>
    <w:rsid w:val="00B93C70"/>
    <w:rsid w:val="00BA6D35"/>
    <w:rsid w:val="00BC20BC"/>
    <w:rsid w:val="00BC3702"/>
    <w:rsid w:val="00BC62D0"/>
    <w:rsid w:val="00BD2311"/>
    <w:rsid w:val="00BD5B43"/>
    <w:rsid w:val="00BE62C8"/>
    <w:rsid w:val="00BF3079"/>
    <w:rsid w:val="00BF3DE4"/>
    <w:rsid w:val="00C0336F"/>
    <w:rsid w:val="00C06C17"/>
    <w:rsid w:val="00C108EF"/>
    <w:rsid w:val="00C10E4B"/>
    <w:rsid w:val="00C14EF5"/>
    <w:rsid w:val="00C17591"/>
    <w:rsid w:val="00C23A3A"/>
    <w:rsid w:val="00C24FAF"/>
    <w:rsid w:val="00C24FC1"/>
    <w:rsid w:val="00C42DD9"/>
    <w:rsid w:val="00C436BF"/>
    <w:rsid w:val="00C4527A"/>
    <w:rsid w:val="00C4557C"/>
    <w:rsid w:val="00C54E19"/>
    <w:rsid w:val="00C56A5E"/>
    <w:rsid w:val="00C614DE"/>
    <w:rsid w:val="00C61B41"/>
    <w:rsid w:val="00C65B90"/>
    <w:rsid w:val="00C67A41"/>
    <w:rsid w:val="00C7132D"/>
    <w:rsid w:val="00C723E4"/>
    <w:rsid w:val="00C72E16"/>
    <w:rsid w:val="00C73540"/>
    <w:rsid w:val="00C75361"/>
    <w:rsid w:val="00C82106"/>
    <w:rsid w:val="00C84001"/>
    <w:rsid w:val="00C91176"/>
    <w:rsid w:val="00C91DE8"/>
    <w:rsid w:val="00C9728B"/>
    <w:rsid w:val="00CA0D54"/>
    <w:rsid w:val="00CA1086"/>
    <w:rsid w:val="00CA5F54"/>
    <w:rsid w:val="00CA66FD"/>
    <w:rsid w:val="00CB4D67"/>
    <w:rsid w:val="00CC27C0"/>
    <w:rsid w:val="00CC47D2"/>
    <w:rsid w:val="00CC73E8"/>
    <w:rsid w:val="00CC7FAF"/>
    <w:rsid w:val="00CD0980"/>
    <w:rsid w:val="00CD21E7"/>
    <w:rsid w:val="00CD373D"/>
    <w:rsid w:val="00CE27B6"/>
    <w:rsid w:val="00CE6B29"/>
    <w:rsid w:val="00CF126C"/>
    <w:rsid w:val="00CF1E68"/>
    <w:rsid w:val="00D00EB7"/>
    <w:rsid w:val="00D06C71"/>
    <w:rsid w:val="00D10746"/>
    <w:rsid w:val="00D13C6F"/>
    <w:rsid w:val="00D1532B"/>
    <w:rsid w:val="00D15994"/>
    <w:rsid w:val="00D213BF"/>
    <w:rsid w:val="00D22994"/>
    <w:rsid w:val="00D30E5F"/>
    <w:rsid w:val="00D31438"/>
    <w:rsid w:val="00D3572C"/>
    <w:rsid w:val="00D36532"/>
    <w:rsid w:val="00D43D9C"/>
    <w:rsid w:val="00D44BF6"/>
    <w:rsid w:val="00D50FF8"/>
    <w:rsid w:val="00D5152E"/>
    <w:rsid w:val="00D51C9A"/>
    <w:rsid w:val="00D53C52"/>
    <w:rsid w:val="00D54867"/>
    <w:rsid w:val="00D54A13"/>
    <w:rsid w:val="00D54ECB"/>
    <w:rsid w:val="00D62FB4"/>
    <w:rsid w:val="00D6326A"/>
    <w:rsid w:val="00D63703"/>
    <w:rsid w:val="00D701A3"/>
    <w:rsid w:val="00D711FD"/>
    <w:rsid w:val="00D823C1"/>
    <w:rsid w:val="00D824DF"/>
    <w:rsid w:val="00D855D8"/>
    <w:rsid w:val="00D9463F"/>
    <w:rsid w:val="00D9476E"/>
    <w:rsid w:val="00D95F34"/>
    <w:rsid w:val="00DA37AA"/>
    <w:rsid w:val="00DA3CA5"/>
    <w:rsid w:val="00DA7551"/>
    <w:rsid w:val="00DB2C69"/>
    <w:rsid w:val="00DB46FE"/>
    <w:rsid w:val="00DC3E56"/>
    <w:rsid w:val="00DC443B"/>
    <w:rsid w:val="00DD3DF2"/>
    <w:rsid w:val="00DD782C"/>
    <w:rsid w:val="00DD7D0E"/>
    <w:rsid w:val="00DE3CFF"/>
    <w:rsid w:val="00E1006A"/>
    <w:rsid w:val="00E1611B"/>
    <w:rsid w:val="00E16FE0"/>
    <w:rsid w:val="00E22CB5"/>
    <w:rsid w:val="00E231C9"/>
    <w:rsid w:val="00E2484E"/>
    <w:rsid w:val="00E30727"/>
    <w:rsid w:val="00E33EB6"/>
    <w:rsid w:val="00E34CFD"/>
    <w:rsid w:val="00E42957"/>
    <w:rsid w:val="00E476C0"/>
    <w:rsid w:val="00E47FB5"/>
    <w:rsid w:val="00E51468"/>
    <w:rsid w:val="00E51B40"/>
    <w:rsid w:val="00E51CDE"/>
    <w:rsid w:val="00E52D05"/>
    <w:rsid w:val="00E578AF"/>
    <w:rsid w:val="00E634D1"/>
    <w:rsid w:val="00E65972"/>
    <w:rsid w:val="00E740A4"/>
    <w:rsid w:val="00E77DF6"/>
    <w:rsid w:val="00E80746"/>
    <w:rsid w:val="00E82D4F"/>
    <w:rsid w:val="00E83B0F"/>
    <w:rsid w:val="00E906B3"/>
    <w:rsid w:val="00E94748"/>
    <w:rsid w:val="00E948C8"/>
    <w:rsid w:val="00EB33BD"/>
    <w:rsid w:val="00EC4A6F"/>
    <w:rsid w:val="00ED1BE6"/>
    <w:rsid w:val="00ED62B4"/>
    <w:rsid w:val="00EE1D72"/>
    <w:rsid w:val="00EE5EED"/>
    <w:rsid w:val="00EE6065"/>
    <w:rsid w:val="00EE7F9C"/>
    <w:rsid w:val="00EF6C8B"/>
    <w:rsid w:val="00EF7C96"/>
    <w:rsid w:val="00F00007"/>
    <w:rsid w:val="00F001B6"/>
    <w:rsid w:val="00F00CFF"/>
    <w:rsid w:val="00F019A7"/>
    <w:rsid w:val="00F01C74"/>
    <w:rsid w:val="00F02AF7"/>
    <w:rsid w:val="00F031F0"/>
    <w:rsid w:val="00F11848"/>
    <w:rsid w:val="00F13790"/>
    <w:rsid w:val="00F13DEF"/>
    <w:rsid w:val="00F13E39"/>
    <w:rsid w:val="00F146C9"/>
    <w:rsid w:val="00F203CF"/>
    <w:rsid w:val="00F20E7B"/>
    <w:rsid w:val="00F21BCD"/>
    <w:rsid w:val="00F2355C"/>
    <w:rsid w:val="00F23E39"/>
    <w:rsid w:val="00F417A6"/>
    <w:rsid w:val="00F43DCB"/>
    <w:rsid w:val="00F46F31"/>
    <w:rsid w:val="00F5159A"/>
    <w:rsid w:val="00F52495"/>
    <w:rsid w:val="00F5564D"/>
    <w:rsid w:val="00F571FD"/>
    <w:rsid w:val="00F627F7"/>
    <w:rsid w:val="00F64EB7"/>
    <w:rsid w:val="00F76CC7"/>
    <w:rsid w:val="00F80EEB"/>
    <w:rsid w:val="00F84EBB"/>
    <w:rsid w:val="00F8570E"/>
    <w:rsid w:val="00F85E19"/>
    <w:rsid w:val="00F85F37"/>
    <w:rsid w:val="00F912EE"/>
    <w:rsid w:val="00F94596"/>
    <w:rsid w:val="00FA1EA8"/>
    <w:rsid w:val="00FA676C"/>
    <w:rsid w:val="00FB2D00"/>
    <w:rsid w:val="00FB3A13"/>
    <w:rsid w:val="00FB3C97"/>
    <w:rsid w:val="00FB6161"/>
    <w:rsid w:val="00FC2AFA"/>
    <w:rsid w:val="00FC3088"/>
    <w:rsid w:val="00FC4A59"/>
    <w:rsid w:val="00FD1474"/>
    <w:rsid w:val="00FD693C"/>
    <w:rsid w:val="00FE07B0"/>
    <w:rsid w:val="00FE16FB"/>
    <w:rsid w:val="00FE4868"/>
    <w:rsid w:val="00FE74FD"/>
    <w:rsid w:val="00FF167B"/>
    <w:rsid w:val="00FF385B"/>
    <w:rsid w:val="00FF46F3"/>
    <w:rsid w:val="00FF75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45300"/>
  <w15:docId w15:val="{3548E9D7-52D5-4D68-AF58-E3AD74D4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0C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0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7B4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3D3"/>
    <w:pPr>
      <w:ind w:left="720"/>
      <w:contextualSpacing/>
    </w:pPr>
  </w:style>
  <w:style w:type="paragraph" w:customStyle="1" w:styleId="Default">
    <w:name w:val="Default"/>
    <w:rsid w:val="00045A48"/>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Header">
    <w:name w:val="header"/>
    <w:basedOn w:val="Normal"/>
    <w:link w:val="HeaderChar"/>
    <w:uiPriority w:val="99"/>
    <w:unhideWhenUsed/>
    <w:rsid w:val="00707308"/>
    <w:pPr>
      <w:tabs>
        <w:tab w:val="center" w:pos="4680"/>
        <w:tab w:val="right" w:pos="9360"/>
      </w:tabs>
    </w:pPr>
  </w:style>
  <w:style w:type="character" w:customStyle="1" w:styleId="HeaderChar">
    <w:name w:val="Header Char"/>
    <w:basedOn w:val="DefaultParagraphFont"/>
    <w:link w:val="Header"/>
    <w:uiPriority w:val="99"/>
    <w:rsid w:val="007073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308"/>
    <w:pPr>
      <w:tabs>
        <w:tab w:val="center" w:pos="4680"/>
        <w:tab w:val="right" w:pos="9360"/>
      </w:tabs>
    </w:pPr>
  </w:style>
  <w:style w:type="character" w:customStyle="1" w:styleId="FooterChar">
    <w:name w:val="Footer Char"/>
    <w:basedOn w:val="DefaultParagraphFont"/>
    <w:link w:val="Footer"/>
    <w:uiPriority w:val="99"/>
    <w:rsid w:val="007073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0EA"/>
    <w:rPr>
      <w:rFonts w:ascii="Tahoma" w:hAnsi="Tahoma" w:cs="Tahoma"/>
      <w:sz w:val="16"/>
      <w:szCs w:val="16"/>
    </w:rPr>
  </w:style>
  <w:style w:type="character" w:customStyle="1" w:styleId="BalloonTextChar">
    <w:name w:val="Balloon Text Char"/>
    <w:basedOn w:val="DefaultParagraphFont"/>
    <w:link w:val="BalloonText"/>
    <w:uiPriority w:val="99"/>
    <w:semiHidden/>
    <w:rsid w:val="003F50E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67E0"/>
    <w:rPr>
      <w:sz w:val="16"/>
      <w:szCs w:val="16"/>
    </w:rPr>
  </w:style>
  <w:style w:type="paragraph" w:styleId="CommentText">
    <w:name w:val="annotation text"/>
    <w:basedOn w:val="Normal"/>
    <w:link w:val="CommentTextChar"/>
    <w:uiPriority w:val="99"/>
    <w:unhideWhenUsed/>
    <w:rsid w:val="00B267E0"/>
    <w:rPr>
      <w:sz w:val="20"/>
      <w:szCs w:val="20"/>
    </w:rPr>
  </w:style>
  <w:style w:type="character" w:customStyle="1" w:styleId="CommentTextChar">
    <w:name w:val="Comment Text Char"/>
    <w:basedOn w:val="DefaultParagraphFont"/>
    <w:link w:val="CommentText"/>
    <w:uiPriority w:val="99"/>
    <w:rsid w:val="00B267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67E0"/>
    <w:rPr>
      <w:b/>
      <w:bCs/>
    </w:rPr>
  </w:style>
  <w:style w:type="character" w:customStyle="1" w:styleId="CommentSubjectChar">
    <w:name w:val="Comment Subject Char"/>
    <w:basedOn w:val="CommentTextChar"/>
    <w:link w:val="CommentSubject"/>
    <w:uiPriority w:val="99"/>
    <w:semiHidden/>
    <w:rsid w:val="00B267E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304B2"/>
    <w:rPr>
      <w:color w:val="0000FF" w:themeColor="hyperlink"/>
      <w:u w:val="single"/>
    </w:rPr>
  </w:style>
  <w:style w:type="character" w:customStyle="1" w:styleId="Heading1Char">
    <w:name w:val="Heading 1 Char"/>
    <w:basedOn w:val="DefaultParagraphFont"/>
    <w:link w:val="Heading1"/>
    <w:uiPriority w:val="9"/>
    <w:rsid w:val="00850C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0C2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E2AC9"/>
    <w:rPr>
      <w:i/>
      <w:iCs/>
    </w:rPr>
  </w:style>
  <w:style w:type="paragraph" w:styleId="FootnoteText">
    <w:name w:val="footnote text"/>
    <w:basedOn w:val="Normal"/>
    <w:link w:val="FootnoteTextChar"/>
    <w:uiPriority w:val="99"/>
    <w:rsid w:val="00126139"/>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26139"/>
    <w:rPr>
      <w:rFonts w:ascii="Calibri" w:eastAsia="Calibri" w:hAnsi="Calibri" w:cs="Arial"/>
      <w:sz w:val="20"/>
      <w:szCs w:val="20"/>
    </w:rPr>
  </w:style>
  <w:style w:type="character" w:styleId="FootnoteReference">
    <w:name w:val="footnote reference"/>
    <w:uiPriority w:val="99"/>
    <w:semiHidden/>
    <w:rsid w:val="00126139"/>
    <w:rPr>
      <w:rFonts w:cs="Times New Roman"/>
      <w:vertAlign w:val="superscript"/>
    </w:rPr>
  </w:style>
  <w:style w:type="paragraph" w:styleId="Title">
    <w:name w:val="Title"/>
    <w:basedOn w:val="Normal"/>
    <w:next w:val="Normal"/>
    <w:link w:val="TitleChar"/>
    <w:uiPriority w:val="10"/>
    <w:qFormat/>
    <w:rsid w:val="00693AD1"/>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693AD1"/>
    <w:rPr>
      <w:rFonts w:asciiTheme="majorHAnsi" w:eastAsiaTheme="majorEastAsia" w:hAnsiTheme="majorHAnsi" w:cstheme="majorBidi"/>
      <w:kern w:val="28"/>
      <w:sz w:val="56"/>
      <w:szCs w:val="56"/>
    </w:rPr>
  </w:style>
  <w:style w:type="character" w:styleId="FollowedHyperlink">
    <w:name w:val="FollowedHyperlink"/>
    <w:basedOn w:val="DefaultParagraphFont"/>
    <w:uiPriority w:val="99"/>
    <w:semiHidden/>
    <w:unhideWhenUsed/>
    <w:rsid w:val="00D6326A"/>
    <w:rPr>
      <w:color w:val="800080" w:themeColor="followedHyperlink"/>
      <w:u w:val="single"/>
    </w:rPr>
  </w:style>
  <w:style w:type="character" w:customStyle="1" w:styleId="Heading3Char">
    <w:name w:val="Heading 3 Char"/>
    <w:basedOn w:val="DefaultParagraphFont"/>
    <w:link w:val="Heading3"/>
    <w:uiPriority w:val="9"/>
    <w:rsid w:val="009E7B44"/>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51E4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14EF5"/>
    <w:pPr>
      <w:spacing w:before="100" w:beforeAutospacing="1" w:after="100" w:afterAutospacing="1"/>
    </w:pPr>
  </w:style>
  <w:style w:type="character" w:styleId="Strong">
    <w:name w:val="Strong"/>
    <w:basedOn w:val="DefaultParagraphFont"/>
    <w:uiPriority w:val="22"/>
    <w:qFormat/>
    <w:rsid w:val="00C14EF5"/>
    <w:rPr>
      <w:b/>
      <w:bCs/>
    </w:rPr>
  </w:style>
  <w:style w:type="character" w:styleId="HTMLCite">
    <w:name w:val="HTML Cite"/>
    <w:basedOn w:val="DefaultParagraphFont"/>
    <w:uiPriority w:val="99"/>
    <w:semiHidden/>
    <w:unhideWhenUsed/>
    <w:rsid w:val="00C14EF5"/>
    <w:rPr>
      <w:i/>
      <w:iCs/>
    </w:rPr>
  </w:style>
  <w:style w:type="character" w:styleId="UnresolvedMention">
    <w:name w:val="Unresolved Mention"/>
    <w:basedOn w:val="DefaultParagraphFont"/>
    <w:uiPriority w:val="99"/>
    <w:semiHidden/>
    <w:unhideWhenUsed/>
    <w:rsid w:val="009E681B"/>
    <w:rPr>
      <w:color w:val="605E5C"/>
      <w:shd w:val="clear" w:color="auto" w:fill="E1DFDD"/>
    </w:rPr>
  </w:style>
  <w:style w:type="paragraph" w:customStyle="1" w:styleId="pf0">
    <w:name w:val="pf0"/>
    <w:basedOn w:val="Normal"/>
    <w:rsid w:val="002618CF"/>
    <w:pPr>
      <w:spacing w:before="100" w:beforeAutospacing="1" w:after="100" w:afterAutospacing="1"/>
    </w:pPr>
  </w:style>
  <w:style w:type="character" w:customStyle="1" w:styleId="cf01">
    <w:name w:val="cf01"/>
    <w:basedOn w:val="DefaultParagraphFont"/>
    <w:rsid w:val="002618CF"/>
    <w:rPr>
      <w:rFonts w:ascii="Segoe UI" w:hAnsi="Segoe UI" w:cs="Segoe UI" w:hint="default"/>
      <w:sz w:val="18"/>
      <w:szCs w:val="18"/>
    </w:rPr>
  </w:style>
  <w:style w:type="paragraph" w:customStyle="1" w:styleId="P68B1DB1-Title1">
    <w:name w:val="P68B1DB1-Title1"/>
    <w:basedOn w:val="Title"/>
    <w:rPr>
      <w:sz w:val="36"/>
    </w:rPr>
  </w:style>
  <w:style w:type="paragraph" w:customStyle="1" w:styleId="P68B1DB1-Normal2">
    <w:name w:val="P68B1DB1-Normal2"/>
    <w:basedOn w:val="Normal"/>
    <w:rPr>
      <w:rFonts w:ascii="Arial" w:hAnsi="Arial" w:cs="Arial"/>
      <w:sz w:val="20"/>
    </w:rPr>
  </w:style>
  <w:style w:type="paragraph" w:customStyle="1" w:styleId="P68B1DB1-Heading23">
    <w:name w:val="P68B1DB1-Heading23"/>
    <w:basedOn w:val="Heading2"/>
    <w:rPr>
      <w:rFonts w:ascii="Arial" w:hAnsi="Arial" w:cs="Arial"/>
      <w:sz w:val="20"/>
    </w:rPr>
  </w:style>
  <w:style w:type="paragraph" w:customStyle="1" w:styleId="P68B1DB1-ListParagraph4">
    <w:name w:val="P68B1DB1-ListParagraph4"/>
    <w:basedOn w:val="ListParagraph"/>
    <w:rPr>
      <w:rFonts w:ascii="Arial" w:hAnsi="Arial" w:cs="Arial"/>
      <w:sz w:val="20"/>
    </w:rPr>
  </w:style>
  <w:style w:type="paragraph" w:customStyle="1" w:styleId="P68B1DB1-Normal5">
    <w:name w:val="P68B1DB1-Normal5"/>
    <w:basedOn w:val="Normal"/>
    <w:rPr>
      <w:rFonts w:ascii="Arial" w:hAnsi="Arial" w:cs="Arial"/>
      <w:b/>
      <w:sz w:val="20"/>
    </w:rPr>
  </w:style>
  <w:style w:type="paragraph" w:customStyle="1" w:styleId="P68B1DB1-Normal6">
    <w:name w:val="P68B1DB1-Normal6"/>
    <w:basedOn w:val="Normal"/>
    <w:rPr>
      <w:rFonts w:ascii="Arial" w:hAnsi="Arial" w:cs="Arial"/>
      <w:b/>
      <w:i/>
      <w:sz w:val="20"/>
    </w:rPr>
  </w:style>
  <w:style w:type="paragraph" w:customStyle="1" w:styleId="P68B1DB1-Default7">
    <w:name w:val="P68B1DB1-Default7"/>
    <w:basedOn w:val="Default"/>
    <w:rPr>
      <w:rFonts w:ascii="Arial" w:hAnsi="Arial" w:cs="Arial"/>
      <w:sz w:val="20"/>
    </w:rPr>
  </w:style>
  <w:style w:type="paragraph" w:customStyle="1" w:styleId="P68B1DB1-ListParagraph8">
    <w:name w:val="P68B1DB1-ListParagraph8"/>
    <w:basedOn w:val="ListParagraph"/>
    <w:rPr>
      <w:rFonts w:ascii="Arial" w:hAnsi="Arial" w:cs="Arial"/>
      <w:b/>
      <w:sz w:val="20"/>
    </w:rPr>
  </w:style>
  <w:style w:type="paragraph" w:customStyle="1" w:styleId="P68B1DB1-ListParagraph9">
    <w:name w:val="P68B1DB1-ListParagraph9"/>
    <w:basedOn w:val="ListParagraph"/>
    <w:rPr>
      <w:rFonts w:ascii="Arial" w:hAnsi="Arial" w:cs="Arial"/>
    </w:rPr>
  </w:style>
  <w:style w:type="paragraph" w:customStyle="1" w:styleId="P68B1DB1-NormalWeb10">
    <w:name w:val="P68B1DB1-NormalWeb10"/>
    <w:basedOn w:val="NormalWeb"/>
    <w:rPr>
      <w:rFonts w:ascii="Arial" w:hAnsi="Arial" w:cs="Arial"/>
      <w:sz w:val="20"/>
    </w:rPr>
  </w:style>
  <w:style w:type="paragraph" w:customStyle="1" w:styleId="P68B1DB1-Heading111">
    <w:name w:val="P68B1DB1-Heading111"/>
    <w:basedOn w:val="Heading1"/>
    <w:rPr>
      <w:rFonts w:ascii="Arial" w:hAnsi="Arial" w:cs="Arial"/>
      <w:sz w:val="20"/>
    </w:rPr>
  </w:style>
  <w:style w:type="paragraph" w:customStyle="1" w:styleId="P68B1DB1-ListParagraph12">
    <w:name w:val="P68B1DB1-ListParagraph12"/>
    <w:basedOn w:val="ListParagraph"/>
    <w:rPr>
      <w:rFonts w:ascii="Arial" w:hAnsi="Arial" w:cs="Arial"/>
      <w:i/>
      <w:sz w:val="20"/>
    </w:rPr>
  </w:style>
  <w:style w:type="paragraph" w:customStyle="1" w:styleId="P68B1DB1-Normal13">
    <w:name w:val="P68B1DB1-Normal13"/>
    <w:basedOn w:val="Normal"/>
    <w:rPr>
      <w:rFonts w:ascii="Arial" w:hAnsi="Arial" w:cs="Arial"/>
      <w:color w:val="000000"/>
      <w:sz w:val="20"/>
    </w:rPr>
  </w:style>
  <w:style w:type="paragraph" w:customStyle="1" w:styleId="P68B1DB1-Normal14">
    <w:name w:val="P68B1DB1-Normal14"/>
    <w:basedOn w:val="Normal"/>
    <w:rPr>
      <w:rFonts w:ascii="Arial" w:hAnsi="Arial" w:cs="Arial"/>
      <w:b/>
      <w:color w:val="FF0000"/>
      <w:sz w:val="20"/>
    </w:rPr>
  </w:style>
  <w:style w:type="paragraph" w:customStyle="1" w:styleId="P68B1DB1-FootnoteText15">
    <w:name w:val="P68B1DB1-FootnoteText15"/>
    <w:basedOn w:val="FootnoteText"/>
    <w:rPr>
      <w:rFonts w:asciiTheme="majorHAnsi"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230">
      <w:bodyDiv w:val="1"/>
      <w:marLeft w:val="0"/>
      <w:marRight w:val="0"/>
      <w:marTop w:val="0"/>
      <w:marBottom w:val="0"/>
      <w:divBdr>
        <w:top w:val="none" w:sz="0" w:space="0" w:color="auto"/>
        <w:left w:val="none" w:sz="0" w:space="0" w:color="auto"/>
        <w:bottom w:val="none" w:sz="0" w:space="0" w:color="auto"/>
        <w:right w:val="none" w:sz="0" w:space="0" w:color="auto"/>
      </w:divBdr>
    </w:div>
    <w:div w:id="284970699">
      <w:bodyDiv w:val="1"/>
      <w:marLeft w:val="0"/>
      <w:marRight w:val="0"/>
      <w:marTop w:val="0"/>
      <w:marBottom w:val="0"/>
      <w:divBdr>
        <w:top w:val="none" w:sz="0" w:space="0" w:color="auto"/>
        <w:left w:val="none" w:sz="0" w:space="0" w:color="auto"/>
        <w:bottom w:val="none" w:sz="0" w:space="0" w:color="auto"/>
        <w:right w:val="none" w:sz="0" w:space="0" w:color="auto"/>
      </w:divBdr>
    </w:div>
    <w:div w:id="456334356">
      <w:bodyDiv w:val="1"/>
      <w:marLeft w:val="0"/>
      <w:marRight w:val="0"/>
      <w:marTop w:val="0"/>
      <w:marBottom w:val="0"/>
      <w:divBdr>
        <w:top w:val="none" w:sz="0" w:space="0" w:color="auto"/>
        <w:left w:val="none" w:sz="0" w:space="0" w:color="auto"/>
        <w:bottom w:val="none" w:sz="0" w:space="0" w:color="auto"/>
        <w:right w:val="none" w:sz="0" w:space="0" w:color="auto"/>
      </w:divBdr>
    </w:div>
    <w:div w:id="496312196">
      <w:bodyDiv w:val="1"/>
      <w:marLeft w:val="0"/>
      <w:marRight w:val="0"/>
      <w:marTop w:val="0"/>
      <w:marBottom w:val="0"/>
      <w:divBdr>
        <w:top w:val="none" w:sz="0" w:space="0" w:color="auto"/>
        <w:left w:val="none" w:sz="0" w:space="0" w:color="auto"/>
        <w:bottom w:val="none" w:sz="0" w:space="0" w:color="auto"/>
        <w:right w:val="none" w:sz="0" w:space="0" w:color="auto"/>
      </w:divBdr>
    </w:div>
    <w:div w:id="497816329">
      <w:bodyDiv w:val="1"/>
      <w:marLeft w:val="0"/>
      <w:marRight w:val="0"/>
      <w:marTop w:val="0"/>
      <w:marBottom w:val="0"/>
      <w:divBdr>
        <w:top w:val="none" w:sz="0" w:space="0" w:color="auto"/>
        <w:left w:val="none" w:sz="0" w:space="0" w:color="auto"/>
        <w:bottom w:val="none" w:sz="0" w:space="0" w:color="auto"/>
        <w:right w:val="none" w:sz="0" w:space="0" w:color="auto"/>
      </w:divBdr>
    </w:div>
    <w:div w:id="569579509">
      <w:bodyDiv w:val="1"/>
      <w:marLeft w:val="0"/>
      <w:marRight w:val="0"/>
      <w:marTop w:val="0"/>
      <w:marBottom w:val="0"/>
      <w:divBdr>
        <w:top w:val="none" w:sz="0" w:space="0" w:color="auto"/>
        <w:left w:val="none" w:sz="0" w:space="0" w:color="auto"/>
        <w:bottom w:val="none" w:sz="0" w:space="0" w:color="auto"/>
        <w:right w:val="none" w:sz="0" w:space="0" w:color="auto"/>
      </w:divBdr>
    </w:div>
    <w:div w:id="586571424">
      <w:bodyDiv w:val="1"/>
      <w:marLeft w:val="0"/>
      <w:marRight w:val="0"/>
      <w:marTop w:val="0"/>
      <w:marBottom w:val="0"/>
      <w:divBdr>
        <w:top w:val="none" w:sz="0" w:space="0" w:color="auto"/>
        <w:left w:val="none" w:sz="0" w:space="0" w:color="auto"/>
        <w:bottom w:val="none" w:sz="0" w:space="0" w:color="auto"/>
        <w:right w:val="none" w:sz="0" w:space="0" w:color="auto"/>
      </w:divBdr>
    </w:div>
    <w:div w:id="643314930">
      <w:bodyDiv w:val="1"/>
      <w:marLeft w:val="0"/>
      <w:marRight w:val="0"/>
      <w:marTop w:val="0"/>
      <w:marBottom w:val="0"/>
      <w:divBdr>
        <w:top w:val="none" w:sz="0" w:space="0" w:color="auto"/>
        <w:left w:val="none" w:sz="0" w:space="0" w:color="auto"/>
        <w:bottom w:val="none" w:sz="0" w:space="0" w:color="auto"/>
        <w:right w:val="none" w:sz="0" w:space="0" w:color="auto"/>
      </w:divBdr>
      <w:divsChild>
        <w:div w:id="894002197">
          <w:marLeft w:val="0"/>
          <w:marRight w:val="0"/>
          <w:marTop w:val="0"/>
          <w:marBottom w:val="0"/>
          <w:divBdr>
            <w:top w:val="none" w:sz="0" w:space="0" w:color="auto"/>
            <w:left w:val="none" w:sz="0" w:space="0" w:color="auto"/>
            <w:bottom w:val="none" w:sz="0" w:space="0" w:color="auto"/>
            <w:right w:val="none" w:sz="0" w:space="0" w:color="auto"/>
          </w:divBdr>
          <w:divsChild>
            <w:div w:id="2116292417">
              <w:marLeft w:val="0"/>
              <w:marRight w:val="0"/>
              <w:marTop w:val="0"/>
              <w:marBottom w:val="0"/>
              <w:divBdr>
                <w:top w:val="none" w:sz="0" w:space="0" w:color="auto"/>
                <w:left w:val="none" w:sz="0" w:space="0" w:color="auto"/>
                <w:bottom w:val="none" w:sz="0" w:space="0" w:color="auto"/>
                <w:right w:val="none" w:sz="0" w:space="0" w:color="auto"/>
              </w:divBdr>
              <w:divsChild>
                <w:div w:id="19059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2543">
          <w:marLeft w:val="0"/>
          <w:marRight w:val="0"/>
          <w:marTop w:val="0"/>
          <w:marBottom w:val="0"/>
          <w:divBdr>
            <w:top w:val="dashed" w:sz="6" w:space="15" w:color="E0E0E0"/>
            <w:left w:val="none" w:sz="0" w:space="0" w:color="auto"/>
            <w:bottom w:val="none" w:sz="0" w:space="0" w:color="auto"/>
            <w:right w:val="none" w:sz="0" w:space="0" w:color="auto"/>
          </w:divBdr>
          <w:divsChild>
            <w:div w:id="1626307775">
              <w:marLeft w:val="0"/>
              <w:marRight w:val="0"/>
              <w:marTop w:val="0"/>
              <w:marBottom w:val="0"/>
              <w:divBdr>
                <w:top w:val="none" w:sz="0" w:space="0" w:color="auto"/>
                <w:left w:val="none" w:sz="0" w:space="0" w:color="auto"/>
                <w:bottom w:val="none" w:sz="0" w:space="0" w:color="auto"/>
                <w:right w:val="none" w:sz="0" w:space="0" w:color="auto"/>
              </w:divBdr>
              <w:divsChild>
                <w:div w:id="14015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3112">
      <w:bodyDiv w:val="1"/>
      <w:marLeft w:val="0"/>
      <w:marRight w:val="0"/>
      <w:marTop w:val="0"/>
      <w:marBottom w:val="0"/>
      <w:divBdr>
        <w:top w:val="none" w:sz="0" w:space="0" w:color="auto"/>
        <w:left w:val="none" w:sz="0" w:space="0" w:color="auto"/>
        <w:bottom w:val="none" w:sz="0" w:space="0" w:color="auto"/>
        <w:right w:val="none" w:sz="0" w:space="0" w:color="auto"/>
      </w:divBdr>
    </w:div>
    <w:div w:id="882641143">
      <w:bodyDiv w:val="1"/>
      <w:marLeft w:val="0"/>
      <w:marRight w:val="0"/>
      <w:marTop w:val="0"/>
      <w:marBottom w:val="0"/>
      <w:divBdr>
        <w:top w:val="none" w:sz="0" w:space="0" w:color="auto"/>
        <w:left w:val="none" w:sz="0" w:space="0" w:color="auto"/>
        <w:bottom w:val="none" w:sz="0" w:space="0" w:color="auto"/>
        <w:right w:val="none" w:sz="0" w:space="0" w:color="auto"/>
      </w:divBdr>
    </w:div>
    <w:div w:id="971982494">
      <w:bodyDiv w:val="1"/>
      <w:marLeft w:val="0"/>
      <w:marRight w:val="0"/>
      <w:marTop w:val="0"/>
      <w:marBottom w:val="0"/>
      <w:divBdr>
        <w:top w:val="none" w:sz="0" w:space="0" w:color="auto"/>
        <w:left w:val="none" w:sz="0" w:space="0" w:color="auto"/>
        <w:bottom w:val="none" w:sz="0" w:space="0" w:color="auto"/>
        <w:right w:val="none" w:sz="0" w:space="0" w:color="auto"/>
      </w:divBdr>
    </w:div>
    <w:div w:id="1086070625">
      <w:bodyDiv w:val="1"/>
      <w:marLeft w:val="0"/>
      <w:marRight w:val="0"/>
      <w:marTop w:val="0"/>
      <w:marBottom w:val="0"/>
      <w:divBdr>
        <w:top w:val="none" w:sz="0" w:space="0" w:color="auto"/>
        <w:left w:val="none" w:sz="0" w:space="0" w:color="auto"/>
        <w:bottom w:val="none" w:sz="0" w:space="0" w:color="auto"/>
        <w:right w:val="none" w:sz="0" w:space="0" w:color="auto"/>
      </w:divBdr>
    </w:div>
    <w:div w:id="1307051042">
      <w:bodyDiv w:val="1"/>
      <w:marLeft w:val="0"/>
      <w:marRight w:val="0"/>
      <w:marTop w:val="0"/>
      <w:marBottom w:val="0"/>
      <w:divBdr>
        <w:top w:val="none" w:sz="0" w:space="0" w:color="auto"/>
        <w:left w:val="none" w:sz="0" w:space="0" w:color="auto"/>
        <w:bottom w:val="none" w:sz="0" w:space="0" w:color="auto"/>
        <w:right w:val="none" w:sz="0" w:space="0" w:color="auto"/>
      </w:divBdr>
    </w:div>
    <w:div w:id="1478763969">
      <w:bodyDiv w:val="1"/>
      <w:marLeft w:val="0"/>
      <w:marRight w:val="0"/>
      <w:marTop w:val="0"/>
      <w:marBottom w:val="0"/>
      <w:divBdr>
        <w:top w:val="none" w:sz="0" w:space="0" w:color="auto"/>
        <w:left w:val="none" w:sz="0" w:space="0" w:color="auto"/>
        <w:bottom w:val="none" w:sz="0" w:space="0" w:color="auto"/>
        <w:right w:val="none" w:sz="0" w:space="0" w:color="auto"/>
      </w:divBdr>
    </w:div>
    <w:div w:id="1665431883">
      <w:bodyDiv w:val="1"/>
      <w:marLeft w:val="0"/>
      <w:marRight w:val="0"/>
      <w:marTop w:val="0"/>
      <w:marBottom w:val="0"/>
      <w:divBdr>
        <w:top w:val="none" w:sz="0" w:space="0" w:color="auto"/>
        <w:left w:val="none" w:sz="0" w:space="0" w:color="auto"/>
        <w:bottom w:val="none" w:sz="0" w:space="0" w:color="auto"/>
        <w:right w:val="none" w:sz="0" w:space="0" w:color="auto"/>
      </w:divBdr>
    </w:div>
    <w:div w:id="1815445419">
      <w:bodyDiv w:val="1"/>
      <w:marLeft w:val="0"/>
      <w:marRight w:val="0"/>
      <w:marTop w:val="0"/>
      <w:marBottom w:val="0"/>
      <w:divBdr>
        <w:top w:val="none" w:sz="0" w:space="0" w:color="auto"/>
        <w:left w:val="none" w:sz="0" w:space="0" w:color="auto"/>
        <w:bottom w:val="none" w:sz="0" w:space="0" w:color="auto"/>
        <w:right w:val="none" w:sz="0" w:space="0" w:color="auto"/>
      </w:divBdr>
    </w:div>
    <w:div w:id="1906841752">
      <w:bodyDiv w:val="1"/>
      <w:marLeft w:val="0"/>
      <w:marRight w:val="0"/>
      <w:marTop w:val="0"/>
      <w:marBottom w:val="0"/>
      <w:divBdr>
        <w:top w:val="none" w:sz="0" w:space="0" w:color="auto"/>
        <w:left w:val="none" w:sz="0" w:space="0" w:color="auto"/>
        <w:bottom w:val="none" w:sz="0" w:space="0" w:color="auto"/>
        <w:right w:val="none" w:sz="0" w:space="0" w:color="auto"/>
      </w:divBdr>
    </w:div>
    <w:div w:id="1910379079">
      <w:bodyDiv w:val="1"/>
      <w:marLeft w:val="0"/>
      <w:marRight w:val="0"/>
      <w:marTop w:val="0"/>
      <w:marBottom w:val="0"/>
      <w:divBdr>
        <w:top w:val="none" w:sz="0" w:space="0" w:color="auto"/>
        <w:left w:val="none" w:sz="0" w:space="0" w:color="auto"/>
        <w:bottom w:val="none" w:sz="0" w:space="0" w:color="auto"/>
        <w:right w:val="none" w:sz="0" w:space="0" w:color="auto"/>
      </w:divBdr>
    </w:div>
    <w:div w:id="1938057479">
      <w:bodyDiv w:val="1"/>
      <w:marLeft w:val="0"/>
      <w:marRight w:val="0"/>
      <w:marTop w:val="0"/>
      <w:marBottom w:val="0"/>
      <w:divBdr>
        <w:top w:val="none" w:sz="0" w:space="0" w:color="auto"/>
        <w:left w:val="none" w:sz="0" w:space="0" w:color="auto"/>
        <w:bottom w:val="none" w:sz="0" w:space="0" w:color="auto"/>
        <w:right w:val="none" w:sz="0" w:space="0" w:color="auto"/>
      </w:divBdr>
    </w:div>
    <w:div w:id="2072775088">
      <w:bodyDiv w:val="1"/>
      <w:marLeft w:val="0"/>
      <w:marRight w:val="0"/>
      <w:marTop w:val="0"/>
      <w:marBottom w:val="0"/>
      <w:divBdr>
        <w:top w:val="none" w:sz="0" w:space="0" w:color="auto"/>
        <w:left w:val="none" w:sz="0" w:space="0" w:color="auto"/>
        <w:bottom w:val="none" w:sz="0" w:space="0" w:color="auto"/>
        <w:right w:val="none" w:sz="0" w:space="0" w:color="auto"/>
      </w:divBdr>
    </w:div>
    <w:div w:id="21399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3A%2F%2Fhtmlpreview.github.io%2F%3Fhttps%3A%2F%2Fgithub.com%2Fhkoenker%2FQuantification%2Fblob%2Fmaster%2Foutput%2FScenario_2_and_3_Quantifiers_Table_Full_Version.html&amp;data=05%7C01%7Cmarcy.erskine%40ifrc.org%7C8b1a4c9662ba4fded1be08dab5be96a4%7Ca2b53be5734e4e6cab0dd184f60fd917%7C0%7C0%7C638022127419403366%7CUnknown%7CTWFpbGZsb3d8eyJWIjoiMC4wLjAwMDAiLCJQIjoiV2luMzIiLCJBTiI6Ik1haWwiLCJXVCI6Mn0%3D%7C3000%7C%7C%7C&amp;sdata=UvqxwM02aMpv%2BARAOd17gB1LXEBAo20iuogXn6boLj8%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ur02.safelinks.protection.outlook.com/?url=https%3A%2F%2Fhtmlpreview.github.io%2F%3Fhttps%3A%2F%2Fgithub.com%2Fhkoenker%2FQuantification%2Fblob%2Fmaster%2Foutput%2FScenario_2_and_3_Quantifiers_Table_Full_Version.html&amp;data=05%7C01%7Cmarcy.erskine%40ifrc.org%7C8b1a4c9662ba4fded1be08dab5be96a4%7Ca2b53be5734e4e6cab0dd184f60fd917%7C0%7C0%7C638022127419403366%7CUnknown%7CTWFpbGZsb3d8eyJWIjoiMC4wLjAwMDAiLCJQIjoiV2luMzIiLCJBTiI6Ik1haWwiLCJXVCI6Mn0%3D%7C3000%7C%7C%7C&amp;sdata=UvqxwM02aMpv%2BARAOd17gB1LXEBAo20iuogXn6boLj8%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htmlpreview.github.io%2F%3Fhttps%3A%2F%2Fgithub.com%2Fhkoenker%2FQuantification%2Fblob%2Fmaster%2Foutput%2FScenario_2_and_3_Quantifiers_Table_Full_Version.html&amp;data=05%7C01%7Cmarcy.erskine%40ifrc.org%7C8b1a4c9662ba4fded1be08dab5be96a4%7Ca2b53be5734e4e6cab0dd184f60fd917%7C0%7C0%7C638022127419403366%7CUnknown%7CTWFpbGZsb3d8eyJWIjoiMC4wLjAwMDAiLCJQIjoiV2luMzIiLCJBTiI6Ik1haWwiLCJXVCI6Mn0%3D%7C3000%7C%7C%7C&amp;sdata=UvqxwM02aMpv%2BARAOd17gB1LXEBAo20iuogXn6boLj8%3D&amp;reserved=0" TargetMode="External"/><Relationship Id="rId5" Type="http://schemas.openxmlformats.org/officeDocument/2006/relationships/styles" Target="styles.xml"/><Relationship Id="rId15" Type="http://schemas.openxmlformats.org/officeDocument/2006/relationships/hyperlink" Target="https://www.theglobalfund.org/media/4759/core_resilientsustainablesystemsforhealth_infonote_en.pdf" TargetMode="External"/><Relationship Id="rId23" Type="http://schemas.openxmlformats.org/officeDocument/2006/relationships/theme" Target="theme/theme1.xml"/><Relationship Id="rId10" Type="http://schemas.openxmlformats.org/officeDocument/2006/relationships/hyperlink" Target="https://eur02.safelinks.protection.outlook.com/?url=https%3A%2F%2Fhtmlpreview.github.io%2F%3Fhttps%3A%2F%2Fgithub.com%2Fhkoenker%2FQuantification%2Fblob%2Fmaster%2Foutput%2FScenario_2_and_3_Quantifiers_Table_Full_Version.html&amp;data=05%7C01%7Cmarcy.erskine%40ifrc.org%7C8b1a4c9662ba4fded1be08dab5be96a4%7Ca2b53be5734e4e6cab0dd184f60fd917%7C0%7C0%7C638022127419403366%7CUnknown%7CTWFpbGZsb3d8eyJWIjoiMC4wLjAwMDAiLCJQIjoiV2luMzIiLCJBTiI6Ik1haWwiLCJXVCI6Mn0%3D%7C3000%7C%7C%7C&amp;sdata=UvqxwM02aMpv%2BARAOd17gB1LXEBAo20iuogXn6boLj8%3D&amp;reserved=0"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o.int/publications/i/item/978924450894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heglobalfund.org/en/sourcing/llins/" TargetMode="External"/><Relationship Id="rId1" Type="http://schemas.openxmlformats.org/officeDocument/2006/relationships/hyperlink" Target="http://www.theglobalfund.org/en/sourcing/ac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6" ma:contentTypeDescription="Create a new document." ma:contentTypeScope="" ma:versionID="51dd00aae82a404c1d9caa39cf378f5c">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3fe426dd25aa5ffbb5ae5b0260020f05"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13ecb-a4a2-4fa1-aced-b05e22a28b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438438-80c0-49f3-98a7-b148ed553fc8}" ma:internalName="TaxCatchAll" ma:showField="CatchAllData" ma:web="adbea429-4b31-4fb2-af80-8d1e74882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7838E-7A4F-43DC-8BFA-4DFEC48B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FA6E1-C62D-46B2-9B33-1696E4208F77}">
  <ds:schemaRefs>
    <ds:schemaRef ds:uri="http://schemas.openxmlformats.org/officeDocument/2006/bibliography"/>
  </ds:schemaRefs>
</ds:datastoreItem>
</file>

<file path=customXml/itemProps3.xml><?xml version="1.0" encoding="utf-8"?>
<ds:datastoreItem xmlns:ds="http://schemas.openxmlformats.org/officeDocument/2006/customXml" ds:itemID="{B62A10E9-4898-472B-B277-3F3DCCBC9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6804</Words>
  <Characters>38785</Characters>
  <Application>Microsoft Office Word</Application>
  <DocSecurity>4</DocSecurity>
  <Lines>323</Lines>
  <Paragraphs>90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Introduction</vt:lpstr>
      <vt:lpstr>    Définition</vt:lpstr>
      <vt:lpstr>    Principes directeurs</vt:lpstr>
      <vt:lpstr>    Méthodes d’analyse des écarts dans les programmes de lutte contre le paludisme</vt:lpstr>
      <vt:lpstr>Notes d’orientation spécifiques pour l’analyse des écarts</vt:lpstr>
      <vt:lpstr>    Analyse des écarts en matière de MII</vt:lpstr>
      <vt:lpstr>    Analyse des écarts en PID</vt:lpstr>
      <vt:lpstr>    Analyse des écarts concernant le diagnostic et le traitement du paludisme</vt:lpstr>
      <vt:lpstr>    Traitement</vt:lpstr>
      <vt:lpstr>    Paludisme aigu</vt:lpstr>
      <vt:lpstr>    Tests diagnostiques</vt:lpstr>
      <vt:lpstr>    Travailleurs de santé communautaires et produits non paludiques pour la prise en</vt:lpstr>
      <vt:lpstr>    Notes d’orientation spécifiques pour la chimiothérapie préventive</vt:lpstr>
      <vt:lpstr>    Chimioprophylaxie saisonnière du paludisme (CPS)</vt:lpstr>
      <vt:lpstr>    TPI</vt:lpstr>
      <vt:lpstr>    Notes d’orientation spécifiques à l’analyse des écarts en suivi-évaluation, gest</vt:lpstr>
      <vt:lpstr>Méthode de conduite de l’analyse des manques de moyens financiers pour lutter co</vt:lpstr>
    </vt:vector>
  </TitlesOfParts>
  <Company>WHO USER</Company>
  <LinksUpToDate>false</LinksUpToDate>
  <CharactersWithSpaces>45499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Olumese;Renshaw Melanie;Fall Soce</dc:creator>
  <cp:lastModifiedBy>Melanie Renshaw</cp:lastModifiedBy>
  <cp:revision>2</cp:revision>
  <dcterms:created xsi:type="dcterms:W3CDTF">2022-12-12T09:34:00Z</dcterms:created>
  <dcterms:modified xsi:type="dcterms:W3CDTF">2022-12-12T09:34:00Z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