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1689" w14:textId="37F384AA" w:rsidR="00AA5ECD" w:rsidRPr="00F43DCB" w:rsidRDefault="00CC7FAF" w:rsidP="00F43DCB">
      <w:pPr>
        <w:pStyle w:val="Title"/>
        <w:jc w:val="center"/>
        <w:rPr>
          <w:sz w:val="36"/>
          <w:szCs w:val="36"/>
        </w:rPr>
      </w:pPr>
      <w:r w:rsidRPr="00F43DCB">
        <w:rPr>
          <w:sz w:val="36"/>
          <w:szCs w:val="36"/>
        </w:rPr>
        <w:t xml:space="preserve">Malaria </w:t>
      </w:r>
      <w:r w:rsidR="00827FD2" w:rsidRPr="00F43DCB">
        <w:rPr>
          <w:sz w:val="36"/>
          <w:szCs w:val="36"/>
        </w:rPr>
        <w:t>P</w:t>
      </w:r>
      <w:r w:rsidRPr="00F43DCB">
        <w:rPr>
          <w:sz w:val="36"/>
          <w:szCs w:val="36"/>
        </w:rPr>
        <w:t xml:space="preserve">rogrammatic </w:t>
      </w:r>
      <w:r w:rsidR="00827FD2" w:rsidRPr="00F43DCB">
        <w:rPr>
          <w:sz w:val="36"/>
          <w:szCs w:val="36"/>
        </w:rPr>
        <w:t>G</w:t>
      </w:r>
      <w:r w:rsidRPr="00F43DCB">
        <w:rPr>
          <w:sz w:val="36"/>
          <w:szCs w:val="36"/>
        </w:rPr>
        <w:t xml:space="preserve">ap </w:t>
      </w:r>
      <w:r w:rsidR="00827FD2" w:rsidRPr="00F43DCB">
        <w:rPr>
          <w:sz w:val="36"/>
          <w:szCs w:val="36"/>
        </w:rPr>
        <w:t>A</w:t>
      </w:r>
      <w:r w:rsidRPr="00F43DCB">
        <w:rPr>
          <w:sz w:val="36"/>
          <w:szCs w:val="36"/>
        </w:rPr>
        <w:t>nalysis</w:t>
      </w:r>
      <w:r w:rsidR="00850C27" w:rsidRPr="00F43DCB">
        <w:rPr>
          <w:sz w:val="36"/>
          <w:szCs w:val="36"/>
        </w:rPr>
        <w:t>:</w:t>
      </w:r>
    </w:p>
    <w:p w14:paraId="6C7B2ED7" w14:textId="5467F769" w:rsidR="00CC7FAF" w:rsidRPr="00F43DCB" w:rsidRDefault="00CC7FAF" w:rsidP="00F43DCB">
      <w:pPr>
        <w:pStyle w:val="Title"/>
        <w:jc w:val="center"/>
        <w:rPr>
          <w:sz w:val="36"/>
          <w:szCs w:val="36"/>
        </w:rPr>
      </w:pPr>
      <w:r w:rsidRPr="00F43DCB">
        <w:rPr>
          <w:sz w:val="36"/>
          <w:szCs w:val="36"/>
        </w:rPr>
        <w:t xml:space="preserve">Guidance </w:t>
      </w:r>
      <w:r w:rsidR="009C207A" w:rsidRPr="00F43DCB">
        <w:rPr>
          <w:sz w:val="36"/>
          <w:szCs w:val="36"/>
        </w:rPr>
        <w:t>N</w:t>
      </w:r>
      <w:r w:rsidRPr="00F43DCB">
        <w:rPr>
          <w:sz w:val="36"/>
          <w:szCs w:val="36"/>
        </w:rPr>
        <w:t>ote</w:t>
      </w:r>
      <w:r w:rsidR="00E34CFD" w:rsidRPr="00F43DCB">
        <w:rPr>
          <w:sz w:val="36"/>
          <w:szCs w:val="36"/>
        </w:rPr>
        <w:t xml:space="preserve"> </w:t>
      </w:r>
      <w:r w:rsidR="00E65972">
        <w:rPr>
          <w:sz w:val="36"/>
          <w:szCs w:val="36"/>
        </w:rPr>
        <w:t>November</w:t>
      </w:r>
      <w:r w:rsidR="00FB2D00" w:rsidRPr="00F43DCB">
        <w:rPr>
          <w:sz w:val="36"/>
          <w:szCs w:val="36"/>
        </w:rPr>
        <w:t xml:space="preserve"> </w:t>
      </w:r>
      <w:r w:rsidR="007C1BF2" w:rsidRPr="00F43DCB">
        <w:rPr>
          <w:sz w:val="36"/>
          <w:szCs w:val="36"/>
        </w:rPr>
        <w:t>20</w:t>
      </w:r>
      <w:r w:rsidR="001E2F1D" w:rsidRPr="00F43DCB">
        <w:rPr>
          <w:sz w:val="36"/>
          <w:szCs w:val="36"/>
        </w:rPr>
        <w:t>22</w:t>
      </w:r>
    </w:p>
    <w:p w14:paraId="4CC0CDA3" w14:textId="77777777" w:rsidR="005810C5" w:rsidRPr="006869FB" w:rsidRDefault="005810C5" w:rsidP="00452CFA">
      <w:pPr>
        <w:pStyle w:val="Heading2"/>
      </w:pPr>
      <w:r w:rsidRPr="006869FB">
        <w:t>Introduction</w:t>
      </w:r>
    </w:p>
    <w:p w14:paraId="1B9DD6D6" w14:textId="59D05E87" w:rsidR="007D5468" w:rsidRPr="006869FB" w:rsidRDefault="003F50EA" w:rsidP="006869FB">
      <w:pPr>
        <w:jc w:val="both"/>
        <w:rPr>
          <w:rFonts w:ascii="Arial" w:hAnsi="Arial" w:cs="Arial"/>
          <w:sz w:val="20"/>
          <w:szCs w:val="20"/>
        </w:rPr>
      </w:pPr>
      <w:r w:rsidRPr="006869FB">
        <w:rPr>
          <w:rFonts w:ascii="Arial" w:hAnsi="Arial" w:cs="Arial"/>
          <w:sz w:val="20"/>
          <w:szCs w:val="20"/>
        </w:rPr>
        <w:t xml:space="preserve">A comprehensive programmatic gap analysis outlines </w:t>
      </w:r>
      <w:r w:rsidR="00DB46FE" w:rsidRPr="006869FB">
        <w:rPr>
          <w:rFonts w:ascii="Arial" w:hAnsi="Arial" w:cs="Arial"/>
          <w:sz w:val="20"/>
          <w:szCs w:val="20"/>
        </w:rPr>
        <w:t>the</w:t>
      </w:r>
      <w:r w:rsidR="005E1582" w:rsidRPr="006869FB">
        <w:rPr>
          <w:rFonts w:ascii="Arial" w:hAnsi="Arial" w:cs="Arial"/>
          <w:sz w:val="20"/>
          <w:szCs w:val="20"/>
        </w:rPr>
        <w:t xml:space="preserve"> </w:t>
      </w:r>
      <w:r w:rsidRPr="006869FB">
        <w:rPr>
          <w:rFonts w:ascii="Arial" w:hAnsi="Arial" w:cs="Arial"/>
          <w:sz w:val="20"/>
          <w:szCs w:val="20"/>
        </w:rPr>
        <w:t>programmatic requirement</w:t>
      </w:r>
      <w:r w:rsidR="00620700">
        <w:rPr>
          <w:rFonts w:ascii="Arial" w:hAnsi="Arial" w:cs="Arial"/>
          <w:sz w:val="20"/>
          <w:szCs w:val="20"/>
        </w:rPr>
        <w:t>s</w:t>
      </w:r>
      <w:r w:rsidRPr="006869FB">
        <w:rPr>
          <w:rFonts w:ascii="Arial" w:hAnsi="Arial" w:cs="Arial"/>
          <w:sz w:val="20"/>
          <w:szCs w:val="20"/>
        </w:rPr>
        <w:t xml:space="preserve"> </w:t>
      </w:r>
      <w:r w:rsidR="005E1582" w:rsidRPr="006869FB">
        <w:rPr>
          <w:rFonts w:ascii="Arial" w:hAnsi="Arial" w:cs="Arial"/>
          <w:sz w:val="20"/>
          <w:szCs w:val="20"/>
        </w:rPr>
        <w:t>needed</w:t>
      </w:r>
      <w:r w:rsidRPr="006869FB">
        <w:rPr>
          <w:rFonts w:ascii="Arial" w:hAnsi="Arial" w:cs="Arial"/>
          <w:sz w:val="20"/>
          <w:szCs w:val="20"/>
        </w:rPr>
        <w:t xml:space="preserve"> to fully implement </w:t>
      </w:r>
      <w:r w:rsidR="005E1582" w:rsidRPr="006869FB">
        <w:rPr>
          <w:rFonts w:ascii="Arial" w:hAnsi="Arial" w:cs="Arial"/>
          <w:sz w:val="20"/>
          <w:szCs w:val="20"/>
        </w:rPr>
        <w:t xml:space="preserve">the strategic plan of </w:t>
      </w:r>
      <w:r w:rsidRPr="006869FB">
        <w:rPr>
          <w:rFonts w:ascii="Arial" w:hAnsi="Arial" w:cs="Arial"/>
          <w:sz w:val="20"/>
          <w:szCs w:val="20"/>
        </w:rPr>
        <w:t>a national malaria programme</w:t>
      </w:r>
      <w:r w:rsidR="005E1582" w:rsidRPr="006869FB">
        <w:rPr>
          <w:rFonts w:ascii="Arial" w:hAnsi="Arial" w:cs="Arial"/>
          <w:sz w:val="20"/>
          <w:szCs w:val="20"/>
        </w:rPr>
        <w:t>. It also identifies</w:t>
      </w:r>
      <w:r w:rsidRPr="006869FB">
        <w:rPr>
          <w:rFonts w:ascii="Arial" w:hAnsi="Arial" w:cs="Arial"/>
          <w:sz w:val="20"/>
          <w:szCs w:val="20"/>
        </w:rPr>
        <w:t xml:space="preserve"> components a</w:t>
      </w:r>
      <w:r w:rsidR="005E1582" w:rsidRPr="006869FB">
        <w:rPr>
          <w:rFonts w:ascii="Arial" w:hAnsi="Arial" w:cs="Arial"/>
          <w:sz w:val="20"/>
          <w:szCs w:val="20"/>
        </w:rPr>
        <w:t>lready</w:t>
      </w:r>
      <w:r w:rsidRPr="006869FB">
        <w:rPr>
          <w:rFonts w:ascii="Arial" w:hAnsi="Arial" w:cs="Arial"/>
          <w:sz w:val="20"/>
          <w:szCs w:val="20"/>
        </w:rPr>
        <w:t xml:space="preserve"> funded </w:t>
      </w:r>
      <w:r w:rsidR="00CE6B29" w:rsidRPr="006869FB">
        <w:rPr>
          <w:rFonts w:ascii="Arial" w:hAnsi="Arial" w:cs="Arial"/>
          <w:sz w:val="20"/>
          <w:szCs w:val="20"/>
        </w:rPr>
        <w:t>and highlights</w:t>
      </w:r>
      <w:r w:rsidR="005E1582" w:rsidRPr="006869FB">
        <w:rPr>
          <w:rFonts w:ascii="Arial" w:hAnsi="Arial" w:cs="Arial"/>
          <w:sz w:val="20"/>
          <w:szCs w:val="20"/>
        </w:rPr>
        <w:t xml:space="preserve"> </w:t>
      </w:r>
      <w:r w:rsidR="00322460" w:rsidRPr="006869FB">
        <w:rPr>
          <w:rFonts w:ascii="Arial" w:hAnsi="Arial" w:cs="Arial"/>
          <w:sz w:val="20"/>
          <w:szCs w:val="20"/>
        </w:rPr>
        <w:t xml:space="preserve">any </w:t>
      </w:r>
      <w:r w:rsidRPr="006869FB">
        <w:rPr>
          <w:rFonts w:ascii="Arial" w:hAnsi="Arial" w:cs="Arial"/>
          <w:sz w:val="20"/>
          <w:szCs w:val="20"/>
        </w:rPr>
        <w:t xml:space="preserve">outstanding </w:t>
      </w:r>
      <w:r w:rsidR="005E1582" w:rsidRPr="006869FB">
        <w:rPr>
          <w:rFonts w:ascii="Arial" w:hAnsi="Arial" w:cs="Arial"/>
          <w:sz w:val="20"/>
          <w:szCs w:val="20"/>
        </w:rPr>
        <w:t xml:space="preserve">financial </w:t>
      </w:r>
      <w:r w:rsidRPr="006869FB">
        <w:rPr>
          <w:rFonts w:ascii="Arial" w:hAnsi="Arial" w:cs="Arial"/>
          <w:sz w:val="20"/>
          <w:szCs w:val="20"/>
        </w:rPr>
        <w:t>gaps</w:t>
      </w:r>
      <w:r w:rsidR="008E7065" w:rsidRPr="006869FB">
        <w:rPr>
          <w:rFonts w:ascii="Arial" w:hAnsi="Arial" w:cs="Arial"/>
          <w:sz w:val="20"/>
          <w:szCs w:val="20"/>
        </w:rPr>
        <w:t xml:space="preserve"> for which funding is being sought</w:t>
      </w:r>
      <w:r w:rsidR="005E1582" w:rsidRPr="006869FB">
        <w:rPr>
          <w:rFonts w:ascii="Arial" w:hAnsi="Arial" w:cs="Arial"/>
          <w:sz w:val="20"/>
          <w:szCs w:val="20"/>
        </w:rPr>
        <w:t>.</w:t>
      </w:r>
      <w:r w:rsidR="007A03D3" w:rsidRPr="006869FB">
        <w:rPr>
          <w:rFonts w:ascii="Arial" w:hAnsi="Arial" w:cs="Arial"/>
          <w:sz w:val="20"/>
          <w:szCs w:val="20"/>
        </w:rPr>
        <w:t xml:space="preserve"> The </w:t>
      </w:r>
      <w:r w:rsidRPr="006869FB">
        <w:rPr>
          <w:rFonts w:ascii="Arial" w:hAnsi="Arial" w:cs="Arial"/>
          <w:sz w:val="20"/>
          <w:szCs w:val="20"/>
        </w:rPr>
        <w:t xml:space="preserve">analysis covers key </w:t>
      </w:r>
      <w:r w:rsidR="005E1582" w:rsidRPr="006869FB">
        <w:rPr>
          <w:rFonts w:ascii="Arial" w:hAnsi="Arial" w:cs="Arial"/>
          <w:sz w:val="20"/>
          <w:szCs w:val="20"/>
        </w:rPr>
        <w:t xml:space="preserve">malaria control </w:t>
      </w:r>
      <w:r w:rsidRPr="006869FB">
        <w:rPr>
          <w:rFonts w:ascii="Arial" w:hAnsi="Arial" w:cs="Arial"/>
          <w:sz w:val="20"/>
          <w:szCs w:val="20"/>
        </w:rPr>
        <w:t xml:space="preserve">interventions </w:t>
      </w:r>
      <w:r w:rsidR="005E1582" w:rsidRPr="006869FB">
        <w:rPr>
          <w:rFonts w:ascii="Arial" w:hAnsi="Arial" w:cs="Arial"/>
          <w:sz w:val="20"/>
          <w:szCs w:val="20"/>
        </w:rPr>
        <w:t>including</w:t>
      </w:r>
      <w:r w:rsidRPr="006869FB">
        <w:rPr>
          <w:rFonts w:ascii="Arial" w:hAnsi="Arial" w:cs="Arial"/>
          <w:sz w:val="20"/>
          <w:szCs w:val="20"/>
        </w:rPr>
        <w:t xml:space="preserve"> vector control (</w:t>
      </w:r>
      <w:r w:rsidR="00032F1C" w:rsidRPr="006869FB">
        <w:rPr>
          <w:rFonts w:ascii="Arial" w:hAnsi="Arial" w:cs="Arial"/>
          <w:sz w:val="20"/>
          <w:szCs w:val="20"/>
        </w:rPr>
        <w:t xml:space="preserve">Insecticide Treated Nets </w:t>
      </w:r>
      <w:r w:rsidR="008E7065" w:rsidRPr="006869FB">
        <w:rPr>
          <w:rFonts w:ascii="Arial" w:hAnsi="Arial" w:cs="Arial"/>
          <w:sz w:val="20"/>
          <w:szCs w:val="20"/>
        </w:rPr>
        <w:t>(</w:t>
      </w:r>
      <w:r w:rsidR="001E2F1D" w:rsidRPr="006869FB">
        <w:rPr>
          <w:rFonts w:ascii="Arial" w:hAnsi="Arial" w:cs="Arial"/>
          <w:sz w:val="20"/>
          <w:szCs w:val="20"/>
        </w:rPr>
        <w:t>ITN</w:t>
      </w:r>
      <w:r w:rsidR="008E7065" w:rsidRPr="006869FB">
        <w:rPr>
          <w:rFonts w:ascii="Arial" w:hAnsi="Arial" w:cs="Arial"/>
          <w:sz w:val="20"/>
          <w:szCs w:val="20"/>
        </w:rPr>
        <w:t>s)</w:t>
      </w:r>
      <w:r w:rsidR="00D00EB7" w:rsidRPr="006869FB">
        <w:rPr>
          <w:rFonts w:ascii="Arial" w:hAnsi="Arial" w:cs="Arial"/>
          <w:sz w:val="20"/>
          <w:szCs w:val="20"/>
        </w:rPr>
        <w:t xml:space="preserve"> and </w:t>
      </w:r>
      <w:r w:rsidRPr="006869FB">
        <w:rPr>
          <w:rFonts w:ascii="Arial" w:hAnsi="Arial" w:cs="Arial"/>
          <w:sz w:val="20"/>
          <w:szCs w:val="20"/>
        </w:rPr>
        <w:t>I</w:t>
      </w:r>
      <w:r w:rsidR="008E7065" w:rsidRPr="006869FB">
        <w:rPr>
          <w:rFonts w:ascii="Arial" w:hAnsi="Arial" w:cs="Arial"/>
          <w:sz w:val="20"/>
          <w:szCs w:val="20"/>
        </w:rPr>
        <w:t xml:space="preserve">ndoor </w:t>
      </w:r>
      <w:r w:rsidRPr="006869FB">
        <w:rPr>
          <w:rFonts w:ascii="Arial" w:hAnsi="Arial" w:cs="Arial"/>
          <w:sz w:val="20"/>
          <w:szCs w:val="20"/>
        </w:rPr>
        <w:t>R</w:t>
      </w:r>
      <w:r w:rsidR="008E7065" w:rsidRPr="006869FB">
        <w:rPr>
          <w:rFonts w:ascii="Arial" w:hAnsi="Arial" w:cs="Arial"/>
          <w:sz w:val="20"/>
          <w:szCs w:val="20"/>
        </w:rPr>
        <w:t xml:space="preserve">esidual </w:t>
      </w:r>
      <w:r w:rsidRPr="006869FB">
        <w:rPr>
          <w:rFonts w:ascii="Arial" w:hAnsi="Arial" w:cs="Arial"/>
          <w:sz w:val="20"/>
          <w:szCs w:val="20"/>
        </w:rPr>
        <w:t>S</w:t>
      </w:r>
      <w:r w:rsidR="008E7065" w:rsidRPr="006869FB">
        <w:rPr>
          <w:rFonts w:ascii="Arial" w:hAnsi="Arial" w:cs="Arial"/>
          <w:sz w:val="20"/>
          <w:szCs w:val="20"/>
        </w:rPr>
        <w:t>praying (IRS)</w:t>
      </w:r>
      <w:r w:rsidRPr="006869FB">
        <w:rPr>
          <w:rFonts w:ascii="Arial" w:hAnsi="Arial" w:cs="Arial"/>
          <w:sz w:val="20"/>
          <w:szCs w:val="20"/>
        </w:rPr>
        <w:t xml:space="preserve">), </w:t>
      </w:r>
      <w:r w:rsidR="005E1582" w:rsidRPr="006869FB">
        <w:rPr>
          <w:rFonts w:ascii="Arial" w:hAnsi="Arial" w:cs="Arial"/>
          <w:sz w:val="20"/>
          <w:szCs w:val="20"/>
        </w:rPr>
        <w:t>case management</w:t>
      </w:r>
      <w:r w:rsidRPr="006869FB">
        <w:rPr>
          <w:rFonts w:ascii="Arial" w:hAnsi="Arial" w:cs="Arial"/>
          <w:sz w:val="20"/>
          <w:szCs w:val="20"/>
        </w:rPr>
        <w:t xml:space="preserve"> </w:t>
      </w:r>
      <w:r w:rsidR="005E1582" w:rsidRPr="006869FB">
        <w:rPr>
          <w:rFonts w:ascii="Arial" w:hAnsi="Arial" w:cs="Arial"/>
          <w:sz w:val="20"/>
          <w:szCs w:val="20"/>
        </w:rPr>
        <w:t>(</w:t>
      </w:r>
      <w:r w:rsidRPr="006869FB">
        <w:rPr>
          <w:rFonts w:ascii="Arial" w:hAnsi="Arial" w:cs="Arial"/>
          <w:sz w:val="20"/>
          <w:szCs w:val="20"/>
        </w:rPr>
        <w:t>diagnos</w:t>
      </w:r>
      <w:r w:rsidR="00665560" w:rsidRPr="006869FB">
        <w:rPr>
          <w:rFonts w:ascii="Arial" w:hAnsi="Arial" w:cs="Arial"/>
          <w:sz w:val="20"/>
          <w:szCs w:val="20"/>
        </w:rPr>
        <w:t>tic testing</w:t>
      </w:r>
      <w:r w:rsidRPr="006869FB">
        <w:rPr>
          <w:rFonts w:ascii="Arial" w:hAnsi="Arial" w:cs="Arial"/>
          <w:sz w:val="20"/>
          <w:szCs w:val="20"/>
        </w:rPr>
        <w:t xml:space="preserve"> and treatment</w:t>
      </w:r>
      <w:r w:rsidR="005E1582" w:rsidRPr="006869FB">
        <w:rPr>
          <w:rFonts w:ascii="Arial" w:hAnsi="Arial" w:cs="Arial"/>
          <w:sz w:val="20"/>
          <w:szCs w:val="20"/>
        </w:rPr>
        <w:t>), preventive chemotherapy (Intermittent preventive treatment in pregnancy</w:t>
      </w:r>
      <w:r w:rsidR="008E7065" w:rsidRPr="006869FB">
        <w:rPr>
          <w:rFonts w:ascii="Arial" w:hAnsi="Arial" w:cs="Arial"/>
          <w:sz w:val="20"/>
          <w:szCs w:val="20"/>
        </w:rPr>
        <w:t xml:space="preserve"> (IPTp)</w:t>
      </w:r>
      <w:r w:rsidR="000B1730" w:rsidRPr="006869FB">
        <w:rPr>
          <w:rFonts w:ascii="Arial" w:hAnsi="Arial" w:cs="Arial"/>
          <w:sz w:val="20"/>
          <w:szCs w:val="20"/>
        </w:rPr>
        <w:t xml:space="preserve">, </w:t>
      </w:r>
      <w:r w:rsidR="005E1582" w:rsidRPr="006869FB">
        <w:rPr>
          <w:rFonts w:ascii="Arial" w:hAnsi="Arial" w:cs="Arial"/>
          <w:sz w:val="20"/>
          <w:szCs w:val="20"/>
        </w:rPr>
        <w:t>seasonal malaria chemoprevention</w:t>
      </w:r>
      <w:r w:rsidR="008E7065" w:rsidRPr="006869FB">
        <w:rPr>
          <w:rFonts w:ascii="Arial" w:hAnsi="Arial" w:cs="Arial"/>
          <w:sz w:val="20"/>
          <w:szCs w:val="20"/>
        </w:rPr>
        <w:t xml:space="preserve"> (SMC)</w:t>
      </w:r>
      <w:r w:rsidR="00C65B90" w:rsidRPr="006869FB">
        <w:rPr>
          <w:rFonts w:ascii="Arial" w:hAnsi="Arial" w:cs="Arial"/>
          <w:sz w:val="20"/>
          <w:szCs w:val="20"/>
        </w:rPr>
        <w:t>)</w:t>
      </w:r>
      <w:r w:rsidRPr="006869FB">
        <w:rPr>
          <w:rFonts w:ascii="Arial" w:hAnsi="Arial" w:cs="Arial"/>
          <w:sz w:val="20"/>
          <w:szCs w:val="20"/>
        </w:rPr>
        <w:t xml:space="preserve"> as well as </w:t>
      </w:r>
      <w:r w:rsidR="00902194" w:rsidRPr="006869FB">
        <w:rPr>
          <w:rFonts w:ascii="Arial" w:hAnsi="Arial" w:cs="Arial"/>
          <w:sz w:val="20"/>
          <w:szCs w:val="20"/>
        </w:rPr>
        <w:t>supportive activities</w:t>
      </w:r>
      <w:r w:rsidRPr="006869FB">
        <w:rPr>
          <w:rFonts w:ascii="Arial" w:hAnsi="Arial" w:cs="Arial"/>
          <w:sz w:val="20"/>
          <w:szCs w:val="20"/>
        </w:rPr>
        <w:t xml:space="preserve"> </w:t>
      </w:r>
      <w:r w:rsidR="005E1582" w:rsidRPr="006869FB">
        <w:rPr>
          <w:rFonts w:ascii="Arial" w:hAnsi="Arial" w:cs="Arial"/>
          <w:sz w:val="20"/>
          <w:szCs w:val="20"/>
        </w:rPr>
        <w:t>needed to effectively deploy and monitor these intervention</w:t>
      </w:r>
      <w:r w:rsidR="00CE6B29" w:rsidRPr="006869FB">
        <w:rPr>
          <w:rFonts w:ascii="Arial" w:hAnsi="Arial" w:cs="Arial"/>
          <w:sz w:val="20"/>
          <w:szCs w:val="20"/>
        </w:rPr>
        <w:t>s</w:t>
      </w:r>
      <w:r w:rsidR="005E1582" w:rsidRPr="006869FB">
        <w:rPr>
          <w:rFonts w:ascii="Arial" w:hAnsi="Arial" w:cs="Arial"/>
          <w:sz w:val="20"/>
          <w:szCs w:val="20"/>
        </w:rPr>
        <w:t xml:space="preserve"> </w:t>
      </w:r>
      <w:r w:rsidRPr="006869FB">
        <w:rPr>
          <w:rFonts w:ascii="Arial" w:hAnsi="Arial" w:cs="Arial"/>
          <w:sz w:val="20"/>
          <w:szCs w:val="20"/>
        </w:rPr>
        <w:t xml:space="preserve">such as </w:t>
      </w:r>
      <w:r w:rsidR="005E1582" w:rsidRPr="006869FB">
        <w:rPr>
          <w:rFonts w:ascii="Arial" w:hAnsi="Arial" w:cs="Arial"/>
          <w:sz w:val="20"/>
          <w:szCs w:val="20"/>
        </w:rPr>
        <w:t>management capacity, training,</w:t>
      </w:r>
      <w:r w:rsidR="007C67FD">
        <w:rPr>
          <w:rFonts w:ascii="Arial" w:hAnsi="Arial" w:cs="Arial"/>
          <w:sz w:val="20"/>
          <w:szCs w:val="20"/>
        </w:rPr>
        <w:t xml:space="preserve"> social and </w:t>
      </w:r>
      <w:r w:rsidR="005E1582" w:rsidRPr="006869FB">
        <w:rPr>
          <w:rFonts w:ascii="Arial" w:hAnsi="Arial" w:cs="Arial"/>
          <w:sz w:val="20"/>
          <w:szCs w:val="20"/>
        </w:rPr>
        <w:t>behavior</w:t>
      </w:r>
      <w:r w:rsidRPr="006869FB">
        <w:rPr>
          <w:rFonts w:ascii="Arial" w:hAnsi="Arial" w:cs="Arial"/>
          <w:sz w:val="20"/>
          <w:szCs w:val="20"/>
        </w:rPr>
        <w:t xml:space="preserve"> change</w:t>
      </w:r>
      <w:r w:rsidR="005E1582" w:rsidRPr="006869FB">
        <w:rPr>
          <w:rFonts w:ascii="Arial" w:hAnsi="Arial" w:cs="Arial"/>
          <w:sz w:val="20"/>
          <w:szCs w:val="20"/>
        </w:rPr>
        <w:t xml:space="preserve"> and </w:t>
      </w:r>
      <w:r w:rsidRPr="006869FB">
        <w:rPr>
          <w:rFonts w:ascii="Arial" w:hAnsi="Arial" w:cs="Arial"/>
          <w:sz w:val="20"/>
          <w:szCs w:val="20"/>
        </w:rPr>
        <w:t>monitoring and evaluation</w:t>
      </w:r>
      <w:r w:rsidR="005E1582" w:rsidRPr="006869FB">
        <w:rPr>
          <w:rFonts w:ascii="Arial" w:hAnsi="Arial" w:cs="Arial"/>
          <w:sz w:val="20"/>
          <w:szCs w:val="20"/>
        </w:rPr>
        <w:t xml:space="preserve">. </w:t>
      </w:r>
      <w:r w:rsidRPr="006869FB">
        <w:rPr>
          <w:rFonts w:ascii="Arial" w:hAnsi="Arial" w:cs="Arial"/>
          <w:sz w:val="20"/>
          <w:szCs w:val="20"/>
        </w:rPr>
        <w:t xml:space="preserve">The gap analysis </w:t>
      </w:r>
      <w:r w:rsidR="00DB46FE" w:rsidRPr="006869FB">
        <w:rPr>
          <w:rFonts w:ascii="Arial" w:hAnsi="Arial" w:cs="Arial"/>
          <w:sz w:val="20"/>
          <w:szCs w:val="20"/>
        </w:rPr>
        <w:t xml:space="preserve">follows </w:t>
      </w:r>
      <w:r w:rsidR="005E1582" w:rsidRPr="006869FB">
        <w:rPr>
          <w:rFonts w:ascii="Arial" w:hAnsi="Arial" w:cs="Arial"/>
          <w:sz w:val="20"/>
          <w:szCs w:val="20"/>
        </w:rPr>
        <w:t>an evidence</w:t>
      </w:r>
      <w:r w:rsidR="00B56E8B" w:rsidRPr="006869FB">
        <w:rPr>
          <w:rFonts w:ascii="Arial" w:hAnsi="Arial" w:cs="Arial"/>
          <w:sz w:val="20"/>
          <w:szCs w:val="20"/>
        </w:rPr>
        <w:t>-</w:t>
      </w:r>
      <w:r w:rsidR="005E1582" w:rsidRPr="006869FB">
        <w:rPr>
          <w:rFonts w:ascii="Arial" w:hAnsi="Arial" w:cs="Arial"/>
          <w:sz w:val="20"/>
          <w:szCs w:val="20"/>
        </w:rPr>
        <w:t xml:space="preserve">based approach to planning and programing </w:t>
      </w:r>
      <w:r w:rsidRPr="006869FB">
        <w:rPr>
          <w:rFonts w:ascii="Arial" w:hAnsi="Arial" w:cs="Arial"/>
          <w:sz w:val="20"/>
          <w:szCs w:val="20"/>
        </w:rPr>
        <w:t xml:space="preserve">based upon the targets and strategies outlined in the </w:t>
      </w:r>
      <w:r w:rsidR="00541ABF" w:rsidRPr="006869FB">
        <w:rPr>
          <w:rFonts w:ascii="Arial" w:hAnsi="Arial" w:cs="Arial"/>
          <w:sz w:val="20"/>
          <w:szCs w:val="20"/>
        </w:rPr>
        <w:t xml:space="preserve">malaria </w:t>
      </w:r>
      <w:r w:rsidRPr="006869FB">
        <w:rPr>
          <w:rFonts w:ascii="Arial" w:hAnsi="Arial" w:cs="Arial"/>
          <w:sz w:val="20"/>
          <w:szCs w:val="20"/>
        </w:rPr>
        <w:t>national strategic plan</w:t>
      </w:r>
      <w:r w:rsidR="008E7065" w:rsidRPr="006869FB">
        <w:rPr>
          <w:rFonts w:ascii="Arial" w:hAnsi="Arial" w:cs="Arial"/>
          <w:sz w:val="20"/>
          <w:szCs w:val="20"/>
        </w:rPr>
        <w:t xml:space="preserve"> (NSP)</w:t>
      </w:r>
      <w:r w:rsidR="005E1582" w:rsidRPr="006869FB">
        <w:rPr>
          <w:rFonts w:ascii="Arial" w:hAnsi="Arial" w:cs="Arial"/>
          <w:sz w:val="20"/>
          <w:szCs w:val="20"/>
        </w:rPr>
        <w:t xml:space="preserve">. </w:t>
      </w:r>
      <w:r w:rsidR="00D00EB7" w:rsidRPr="006869FB">
        <w:rPr>
          <w:rFonts w:ascii="Arial" w:hAnsi="Arial" w:cs="Arial"/>
          <w:sz w:val="20"/>
          <w:szCs w:val="20"/>
        </w:rPr>
        <w:t xml:space="preserve"> </w:t>
      </w:r>
    </w:p>
    <w:p w14:paraId="7F8A6CA0" w14:textId="77777777" w:rsidR="00CC7FAF" w:rsidRPr="006869FB" w:rsidRDefault="00CC7FAF" w:rsidP="00452CFA">
      <w:pPr>
        <w:pStyle w:val="Heading2"/>
      </w:pPr>
      <w:r w:rsidRPr="00452CFA">
        <w:t>Definition</w:t>
      </w:r>
    </w:p>
    <w:p w14:paraId="5C237C4D" w14:textId="30FF95EC" w:rsidR="00CC7FAF" w:rsidRPr="006869FB" w:rsidRDefault="006F55FF" w:rsidP="0020756E">
      <w:pPr>
        <w:spacing w:before="120"/>
        <w:jc w:val="both"/>
        <w:rPr>
          <w:rFonts w:ascii="Arial" w:hAnsi="Arial" w:cs="Arial"/>
          <w:sz w:val="20"/>
          <w:szCs w:val="20"/>
        </w:rPr>
      </w:pPr>
      <w:r w:rsidRPr="006869FB">
        <w:rPr>
          <w:rFonts w:ascii="Arial" w:hAnsi="Arial" w:cs="Arial"/>
          <w:b/>
          <w:i/>
          <w:color w:val="4F81BD" w:themeColor="accent1"/>
          <w:sz w:val="20"/>
          <w:szCs w:val="20"/>
        </w:rPr>
        <w:t>P</w:t>
      </w:r>
      <w:r w:rsidR="00CC7FAF" w:rsidRPr="006869FB">
        <w:rPr>
          <w:rFonts w:ascii="Arial" w:hAnsi="Arial" w:cs="Arial"/>
          <w:b/>
          <w:i/>
          <w:color w:val="4F81BD" w:themeColor="accent1"/>
          <w:sz w:val="20"/>
          <w:szCs w:val="20"/>
        </w:rPr>
        <w:t>rogrammatic gap</w:t>
      </w:r>
      <w:r w:rsidR="00CC7FAF" w:rsidRPr="006869FB">
        <w:rPr>
          <w:rFonts w:ascii="Arial" w:hAnsi="Arial" w:cs="Arial"/>
          <w:sz w:val="20"/>
          <w:szCs w:val="20"/>
        </w:rPr>
        <w:t xml:space="preserve"> defined by the services and commodities needed to cover the gap between the current coverage and the planned objectives for a given malaria intervention. The services cover both technical and supportive activities. </w:t>
      </w:r>
    </w:p>
    <w:p w14:paraId="22333871" w14:textId="5C1EECC7" w:rsidR="00CC7FAF" w:rsidRPr="006869FB" w:rsidRDefault="00CC7FAF" w:rsidP="0020756E">
      <w:pPr>
        <w:spacing w:before="120"/>
        <w:jc w:val="both"/>
        <w:rPr>
          <w:rFonts w:ascii="Arial" w:hAnsi="Arial" w:cs="Arial"/>
          <w:sz w:val="20"/>
          <w:szCs w:val="20"/>
        </w:rPr>
      </w:pPr>
      <w:r w:rsidRPr="006869FB">
        <w:rPr>
          <w:rFonts w:ascii="Arial" w:hAnsi="Arial" w:cs="Arial"/>
          <w:b/>
          <w:i/>
          <w:color w:val="4F81BD" w:themeColor="accent1"/>
          <w:sz w:val="20"/>
          <w:szCs w:val="20"/>
        </w:rPr>
        <w:t>Financial gap</w:t>
      </w:r>
      <w:r w:rsidRPr="006869FB">
        <w:rPr>
          <w:rFonts w:ascii="Arial" w:hAnsi="Arial" w:cs="Arial"/>
          <w:sz w:val="20"/>
          <w:szCs w:val="20"/>
        </w:rPr>
        <w:t xml:space="preserve"> represents the difference between the available financial resources (or projected </w:t>
      </w:r>
      <w:r w:rsidR="006F2A0A">
        <w:rPr>
          <w:rFonts w:ascii="Arial" w:hAnsi="Arial" w:cs="Arial"/>
          <w:sz w:val="20"/>
          <w:szCs w:val="20"/>
        </w:rPr>
        <w:t xml:space="preserve">available </w:t>
      </w:r>
      <w:r w:rsidRPr="006869FB">
        <w:rPr>
          <w:rFonts w:ascii="Arial" w:hAnsi="Arial" w:cs="Arial"/>
          <w:sz w:val="20"/>
          <w:szCs w:val="20"/>
        </w:rPr>
        <w:t xml:space="preserve">resources) and the total resources needed to fill the programmatic gaps. </w:t>
      </w:r>
      <w:r w:rsidR="00541ABF" w:rsidRPr="006869FB">
        <w:rPr>
          <w:rFonts w:ascii="Arial" w:hAnsi="Arial" w:cs="Arial"/>
          <w:sz w:val="20"/>
          <w:szCs w:val="20"/>
        </w:rPr>
        <w:t xml:space="preserve">A </w:t>
      </w:r>
      <w:r w:rsidRPr="006869FB">
        <w:rPr>
          <w:rFonts w:ascii="Arial" w:hAnsi="Arial" w:cs="Arial"/>
          <w:sz w:val="20"/>
          <w:szCs w:val="20"/>
        </w:rPr>
        <w:t xml:space="preserve">comprehensive programmatic gap analysis is required to inform the resource estimate for the financial gap analysis. </w:t>
      </w:r>
    </w:p>
    <w:p w14:paraId="4EC78FF9" w14:textId="77777777" w:rsidR="005B0B5D" w:rsidRPr="006869FB" w:rsidRDefault="00902194" w:rsidP="0020756E">
      <w:pPr>
        <w:pStyle w:val="Heading2"/>
        <w:spacing w:before="120"/>
        <w:rPr>
          <w:rFonts w:ascii="Arial" w:hAnsi="Arial" w:cs="Arial"/>
          <w:sz w:val="20"/>
          <w:szCs w:val="20"/>
        </w:rPr>
      </w:pPr>
      <w:r w:rsidRPr="006869FB">
        <w:rPr>
          <w:rFonts w:ascii="Arial" w:hAnsi="Arial" w:cs="Arial"/>
          <w:sz w:val="20"/>
          <w:szCs w:val="20"/>
        </w:rPr>
        <w:t>Guiding principle</w:t>
      </w:r>
      <w:r w:rsidR="00EE1D72" w:rsidRPr="006869FB">
        <w:rPr>
          <w:rFonts w:ascii="Arial" w:hAnsi="Arial" w:cs="Arial"/>
          <w:sz w:val="20"/>
          <w:szCs w:val="20"/>
        </w:rPr>
        <w:t>s</w:t>
      </w:r>
    </w:p>
    <w:p w14:paraId="4D544F5A" w14:textId="4F51362C" w:rsidR="00DB46FE" w:rsidRPr="006869FB" w:rsidRDefault="005B0B5D" w:rsidP="0020756E">
      <w:pPr>
        <w:spacing w:before="120"/>
        <w:jc w:val="both"/>
        <w:rPr>
          <w:rFonts w:ascii="Arial" w:hAnsi="Arial" w:cs="Arial"/>
          <w:sz w:val="20"/>
          <w:szCs w:val="20"/>
        </w:rPr>
      </w:pPr>
      <w:r w:rsidRPr="006869FB">
        <w:rPr>
          <w:rFonts w:ascii="Arial" w:hAnsi="Arial" w:cs="Arial"/>
          <w:b/>
          <w:i/>
          <w:sz w:val="20"/>
          <w:szCs w:val="20"/>
        </w:rPr>
        <w:t>Evidence-based</w:t>
      </w:r>
      <w:r w:rsidR="00902194" w:rsidRPr="006869FB">
        <w:rPr>
          <w:rFonts w:ascii="Arial" w:hAnsi="Arial" w:cs="Arial"/>
          <w:sz w:val="20"/>
          <w:szCs w:val="20"/>
        </w:rPr>
        <w:t xml:space="preserve">: </w:t>
      </w:r>
      <w:r w:rsidR="0017334D" w:rsidRPr="006869FB">
        <w:rPr>
          <w:rFonts w:ascii="Arial" w:hAnsi="Arial" w:cs="Arial"/>
          <w:sz w:val="20"/>
          <w:szCs w:val="20"/>
        </w:rPr>
        <w:t xml:space="preserve"> </w:t>
      </w:r>
      <w:r w:rsidR="00B56E8B" w:rsidRPr="006869FB">
        <w:rPr>
          <w:rFonts w:ascii="Arial" w:hAnsi="Arial" w:cs="Arial"/>
          <w:sz w:val="20"/>
          <w:szCs w:val="20"/>
        </w:rPr>
        <w:t>Accurate and</w:t>
      </w:r>
      <w:r w:rsidR="00F13DEF" w:rsidRPr="006869FB">
        <w:rPr>
          <w:rFonts w:ascii="Arial" w:hAnsi="Arial" w:cs="Arial"/>
          <w:sz w:val="20"/>
          <w:szCs w:val="20"/>
        </w:rPr>
        <w:t xml:space="preserve"> detailed </w:t>
      </w:r>
      <w:r w:rsidR="0017334D" w:rsidRPr="006869FB">
        <w:rPr>
          <w:rFonts w:ascii="Arial" w:hAnsi="Arial" w:cs="Arial"/>
          <w:sz w:val="20"/>
          <w:szCs w:val="20"/>
        </w:rPr>
        <w:t xml:space="preserve">data/information </w:t>
      </w:r>
      <w:r w:rsidR="00DB46FE" w:rsidRPr="006869FB">
        <w:rPr>
          <w:rFonts w:ascii="Arial" w:hAnsi="Arial" w:cs="Arial"/>
          <w:sz w:val="20"/>
          <w:szCs w:val="20"/>
        </w:rPr>
        <w:t>are</w:t>
      </w:r>
      <w:r w:rsidR="0017334D" w:rsidRPr="006869FB">
        <w:rPr>
          <w:rFonts w:ascii="Arial" w:hAnsi="Arial" w:cs="Arial"/>
          <w:sz w:val="20"/>
          <w:szCs w:val="20"/>
        </w:rPr>
        <w:t xml:space="preserve"> needed to ensure a credible gap analysis. </w:t>
      </w:r>
      <w:r w:rsidR="005E1582" w:rsidRPr="006869FB">
        <w:rPr>
          <w:rFonts w:ascii="Arial" w:hAnsi="Arial" w:cs="Arial"/>
          <w:sz w:val="20"/>
          <w:szCs w:val="20"/>
        </w:rPr>
        <w:t>T</w:t>
      </w:r>
      <w:r w:rsidR="0017334D" w:rsidRPr="006869FB">
        <w:rPr>
          <w:rFonts w:ascii="Arial" w:hAnsi="Arial" w:cs="Arial"/>
          <w:sz w:val="20"/>
          <w:szCs w:val="20"/>
        </w:rPr>
        <w:t>h</w:t>
      </w:r>
      <w:r w:rsidR="00F13DEF" w:rsidRPr="006869FB">
        <w:rPr>
          <w:rFonts w:ascii="Arial" w:hAnsi="Arial" w:cs="Arial"/>
          <w:sz w:val="20"/>
          <w:szCs w:val="20"/>
        </w:rPr>
        <w:t xml:space="preserve">e relevant </w:t>
      </w:r>
      <w:r w:rsidR="005E1582" w:rsidRPr="006869FB">
        <w:rPr>
          <w:rFonts w:ascii="Arial" w:hAnsi="Arial" w:cs="Arial"/>
          <w:sz w:val="20"/>
          <w:szCs w:val="20"/>
        </w:rPr>
        <w:t xml:space="preserve">evidence </w:t>
      </w:r>
      <w:r w:rsidR="0017334D" w:rsidRPr="006869FB">
        <w:rPr>
          <w:rFonts w:ascii="Arial" w:hAnsi="Arial" w:cs="Arial"/>
          <w:sz w:val="20"/>
          <w:szCs w:val="20"/>
        </w:rPr>
        <w:t>include</w:t>
      </w:r>
      <w:r w:rsidR="00DB46FE" w:rsidRPr="006869FB">
        <w:rPr>
          <w:rFonts w:ascii="Arial" w:hAnsi="Arial" w:cs="Arial"/>
          <w:sz w:val="20"/>
          <w:szCs w:val="20"/>
        </w:rPr>
        <w:t>s</w:t>
      </w:r>
      <w:r w:rsidR="0017334D" w:rsidRPr="006869FB">
        <w:rPr>
          <w:rFonts w:ascii="Arial" w:hAnsi="Arial" w:cs="Arial"/>
          <w:sz w:val="20"/>
          <w:szCs w:val="20"/>
        </w:rPr>
        <w:t xml:space="preserve"> the following: </w:t>
      </w:r>
    </w:p>
    <w:p w14:paraId="36750FFB" w14:textId="79982241" w:rsidR="00DB46FE" w:rsidRPr="006869FB" w:rsidRDefault="00DB46FE" w:rsidP="00A6629D">
      <w:pPr>
        <w:pStyle w:val="ListParagraph"/>
        <w:numPr>
          <w:ilvl w:val="0"/>
          <w:numId w:val="10"/>
        </w:numPr>
        <w:spacing w:before="120"/>
        <w:jc w:val="both"/>
        <w:rPr>
          <w:rFonts w:ascii="Arial" w:hAnsi="Arial" w:cs="Arial"/>
          <w:sz w:val="20"/>
          <w:szCs w:val="20"/>
        </w:rPr>
      </w:pPr>
      <w:r w:rsidRPr="006869FB">
        <w:rPr>
          <w:rFonts w:ascii="Arial" w:hAnsi="Arial" w:cs="Arial"/>
          <w:sz w:val="20"/>
          <w:szCs w:val="20"/>
        </w:rPr>
        <w:t>H</w:t>
      </w:r>
      <w:r w:rsidR="00902194" w:rsidRPr="006869FB">
        <w:rPr>
          <w:rFonts w:ascii="Arial" w:hAnsi="Arial" w:cs="Arial"/>
          <w:sz w:val="20"/>
          <w:szCs w:val="20"/>
        </w:rPr>
        <w:t>istorical data and experience from previous program</w:t>
      </w:r>
      <w:r w:rsidR="00D00EB7" w:rsidRPr="006869FB">
        <w:rPr>
          <w:rFonts w:ascii="Arial" w:hAnsi="Arial" w:cs="Arial"/>
          <w:sz w:val="20"/>
          <w:szCs w:val="20"/>
        </w:rPr>
        <w:t>me</w:t>
      </w:r>
      <w:r w:rsidR="00902194" w:rsidRPr="006869FB">
        <w:rPr>
          <w:rFonts w:ascii="Arial" w:hAnsi="Arial" w:cs="Arial"/>
          <w:sz w:val="20"/>
          <w:szCs w:val="20"/>
        </w:rPr>
        <w:t xml:space="preserve"> implementation</w:t>
      </w:r>
      <w:r w:rsidR="0017334D" w:rsidRPr="006869FB">
        <w:rPr>
          <w:rFonts w:ascii="Arial" w:hAnsi="Arial" w:cs="Arial"/>
          <w:sz w:val="20"/>
          <w:szCs w:val="20"/>
        </w:rPr>
        <w:t xml:space="preserve">  </w:t>
      </w:r>
    </w:p>
    <w:p w14:paraId="43F2D352" w14:textId="29C75003" w:rsidR="00DB46FE" w:rsidRPr="006869FB" w:rsidRDefault="00FB3A13" w:rsidP="00A6629D">
      <w:pPr>
        <w:pStyle w:val="ListParagraph"/>
        <w:numPr>
          <w:ilvl w:val="0"/>
          <w:numId w:val="10"/>
        </w:numPr>
        <w:spacing w:before="120"/>
        <w:jc w:val="both"/>
        <w:rPr>
          <w:rFonts w:ascii="Arial" w:hAnsi="Arial" w:cs="Arial"/>
          <w:sz w:val="20"/>
          <w:szCs w:val="20"/>
        </w:rPr>
      </w:pPr>
      <w:r w:rsidRPr="006869FB">
        <w:rPr>
          <w:rFonts w:ascii="Arial" w:hAnsi="Arial" w:cs="Arial"/>
          <w:sz w:val="20"/>
          <w:szCs w:val="20"/>
        </w:rPr>
        <w:t>P</w:t>
      </w:r>
      <w:r w:rsidR="00486E99" w:rsidRPr="006869FB">
        <w:rPr>
          <w:rFonts w:ascii="Arial" w:hAnsi="Arial" w:cs="Arial"/>
          <w:sz w:val="20"/>
          <w:szCs w:val="20"/>
        </w:rPr>
        <w:t xml:space="preserve">opulation </w:t>
      </w:r>
      <w:r w:rsidR="00B22A33" w:rsidRPr="006869FB">
        <w:rPr>
          <w:rFonts w:ascii="Arial" w:hAnsi="Arial" w:cs="Arial"/>
          <w:sz w:val="20"/>
          <w:szCs w:val="20"/>
        </w:rPr>
        <w:t xml:space="preserve">and </w:t>
      </w:r>
      <w:r w:rsidR="006F2A0A">
        <w:rPr>
          <w:rFonts w:ascii="Arial" w:hAnsi="Arial" w:cs="Arial"/>
          <w:sz w:val="20"/>
          <w:szCs w:val="20"/>
        </w:rPr>
        <w:t>e</w:t>
      </w:r>
      <w:r w:rsidR="00B22A33" w:rsidRPr="006869FB">
        <w:rPr>
          <w:rFonts w:ascii="Arial" w:hAnsi="Arial" w:cs="Arial"/>
          <w:sz w:val="20"/>
          <w:szCs w:val="20"/>
        </w:rPr>
        <w:t xml:space="preserve">pidemiological </w:t>
      </w:r>
      <w:r w:rsidR="00486E99" w:rsidRPr="006869FB">
        <w:rPr>
          <w:rFonts w:ascii="Arial" w:hAnsi="Arial" w:cs="Arial"/>
          <w:sz w:val="20"/>
          <w:szCs w:val="20"/>
        </w:rPr>
        <w:t xml:space="preserve">data </w:t>
      </w:r>
      <w:r w:rsidR="00EE1D72" w:rsidRPr="006869FB">
        <w:rPr>
          <w:rFonts w:ascii="Arial" w:hAnsi="Arial" w:cs="Arial"/>
          <w:sz w:val="20"/>
          <w:szCs w:val="20"/>
        </w:rPr>
        <w:t>disaggregated by age group, and geographic location (population per district, urban and rural</w:t>
      </w:r>
      <w:r w:rsidR="00F417A6">
        <w:rPr>
          <w:rFonts w:ascii="Arial" w:hAnsi="Arial" w:cs="Arial"/>
          <w:sz w:val="20"/>
          <w:szCs w:val="20"/>
        </w:rPr>
        <w:t>,</w:t>
      </w:r>
      <w:r w:rsidR="00EE1D72" w:rsidRPr="006869FB">
        <w:rPr>
          <w:rFonts w:ascii="Arial" w:hAnsi="Arial" w:cs="Arial"/>
          <w:sz w:val="20"/>
          <w:szCs w:val="20"/>
        </w:rPr>
        <w:t xml:space="preserve"> etc.)</w:t>
      </w:r>
      <w:r w:rsidR="00F13DEF" w:rsidRPr="006869FB">
        <w:rPr>
          <w:rFonts w:ascii="Arial" w:hAnsi="Arial" w:cs="Arial"/>
          <w:sz w:val="20"/>
          <w:szCs w:val="20"/>
        </w:rPr>
        <w:t xml:space="preserve"> </w:t>
      </w:r>
    </w:p>
    <w:p w14:paraId="0110AC07" w14:textId="77777777" w:rsidR="00541ABF" w:rsidRPr="006869FB" w:rsidRDefault="00DB46FE" w:rsidP="00A6629D">
      <w:pPr>
        <w:pStyle w:val="ListParagraph"/>
        <w:numPr>
          <w:ilvl w:val="0"/>
          <w:numId w:val="10"/>
        </w:numPr>
        <w:spacing w:before="120"/>
        <w:jc w:val="both"/>
        <w:rPr>
          <w:rFonts w:ascii="Arial" w:hAnsi="Arial" w:cs="Arial"/>
          <w:sz w:val="20"/>
          <w:szCs w:val="20"/>
        </w:rPr>
      </w:pPr>
      <w:r w:rsidRPr="006869FB">
        <w:rPr>
          <w:rFonts w:ascii="Arial" w:hAnsi="Arial" w:cs="Arial"/>
          <w:sz w:val="20"/>
          <w:szCs w:val="20"/>
        </w:rPr>
        <w:t>U</w:t>
      </w:r>
      <w:r w:rsidR="00B56E8B" w:rsidRPr="006869FB">
        <w:rPr>
          <w:rFonts w:ascii="Arial" w:hAnsi="Arial" w:cs="Arial"/>
          <w:sz w:val="20"/>
          <w:szCs w:val="20"/>
        </w:rPr>
        <w:t xml:space="preserve">p </w:t>
      </w:r>
      <w:r w:rsidR="00F13DEF" w:rsidRPr="006869FB">
        <w:rPr>
          <w:rFonts w:ascii="Arial" w:hAnsi="Arial" w:cs="Arial"/>
          <w:sz w:val="20"/>
          <w:szCs w:val="20"/>
        </w:rPr>
        <w:t xml:space="preserve">to date information on the implementation status of </w:t>
      </w:r>
      <w:r w:rsidR="00DB2C69" w:rsidRPr="006869FB">
        <w:rPr>
          <w:rFonts w:ascii="Arial" w:hAnsi="Arial" w:cs="Arial"/>
          <w:sz w:val="20"/>
          <w:szCs w:val="20"/>
        </w:rPr>
        <w:t>current interventions</w:t>
      </w:r>
    </w:p>
    <w:p w14:paraId="55A1C109" w14:textId="6B875669" w:rsidR="005B0B5D" w:rsidRPr="006869FB" w:rsidRDefault="00F13DEF" w:rsidP="00A6629D">
      <w:pPr>
        <w:pStyle w:val="ListParagraph"/>
        <w:numPr>
          <w:ilvl w:val="0"/>
          <w:numId w:val="10"/>
        </w:numPr>
        <w:spacing w:before="120"/>
        <w:jc w:val="both"/>
        <w:rPr>
          <w:rFonts w:ascii="Arial" w:hAnsi="Arial" w:cs="Arial"/>
          <w:sz w:val="20"/>
          <w:szCs w:val="20"/>
        </w:rPr>
      </w:pPr>
      <w:r w:rsidRPr="006869FB">
        <w:rPr>
          <w:rFonts w:ascii="Arial" w:hAnsi="Arial" w:cs="Arial"/>
          <w:sz w:val="20"/>
          <w:szCs w:val="20"/>
        </w:rPr>
        <w:t>Information on the national funding landscape, both actual and promissory</w:t>
      </w:r>
      <w:r w:rsidR="006F2A0A">
        <w:rPr>
          <w:rFonts w:ascii="Arial" w:hAnsi="Arial" w:cs="Arial"/>
          <w:sz w:val="20"/>
          <w:szCs w:val="20"/>
        </w:rPr>
        <w:t>,</w:t>
      </w:r>
      <w:r w:rsidR="00EE1D72" w:rsidRPr="006869FB">
        <w:rPr>
          <w:rFonts w:ascii="Arial" w:hAnsi="Arial" w:cs="Arial"/>
          <w:sz w:val="20"/>
          <w:szCs w:val="20"/>
        </w:rPr>
        <w:t xml:space="preserve"> </w:t>
      </w:r>
      <w:r w:rsidR="006F2A0A">
        <w:rPr>
          <w:rFonts w:ascii="Arial" w:hAnsi="Arial" w:cs="Arial"/>
          <w:sz w:val="20"/>
          <w:szCs w:val="20"/>
        </w:rPr>
        <w:t>is</w:t>
      </w:r>
      <w:r w:rsidR="006F2A0A" w:rsidRPr="006869FB">
        <w:rPr>
          <w:rFonts w:ascii="Arial" w:hAnsi="Arial" w:cs="Arial"/>
          <w:sz w:val="20"/>
          <w:szCs w:val="20"/>
        </w:rPr>
        <w:t xml:space="preserve"> </w:t>
      </w:r>
      <w:r w:rsidR="00EE1D72" w:rsidRPr="006869FB">
        <w:rPr>
          <w:rFonts w:ascii="Arial" w:hAnsi="Arial" w:cs="Arial"/>
          <w:sz w:val="20"/>
          <w:szCs w:val="20"/>
        </w:rPr>
        <w:t xml:space="preserve">needed </w:t>
      </w:r>
      <w:r w:rsidRPr="006869FB">
        <w:rPr>
          <w:rFonts w:ascii="Arial" w:hAnsi="Arial" w:cs="Arial"/>
          <w:sz w:val="20"/>
          <w:szCs w:val="20"/>
        </w:rPr>
        <w:t xml:space="preserve">to derive </w:t>
      </w:r>
      <w:r w:rsidR="00B56E8B" w:rsidRPr="006869FB">
        <w:rPr>
          <w:rFonts w:ascii="Arial" w:hAnsi="Arial" w:cs="Arial"/>
          <w:sz w:val="20"/>
          <w:szCs w:val="20"/>
        </w:rPr>
        <w:t>a credible</w:t>
      </w:r>
      <w:r w:rsidR="00EE1D72" w:rsidRPr="006869FB">
        <w:rPr>
          <w:rFonts w:ascii="Arial" w:hAnsi="Arial" w:cs="Arial"/>
          <w:sz w:val="20"/>
          <w:szCs w:val="20"/>
        </w:rPr>
        <w:t xml:space="preserve"> </w:t>
      </w:r>
      <w:r w:rsidRPr="006869FB">
        <w:rPr>
          <w:rFonts w:ascii="Arial" w:hAnsi="Arial" w:cs="Arial"/>
          <w:sz w:val="20"/>
          <w:szCs w:val="20"/>
        </w:rPr>
        <w:t xml:space="preserve">financial </w:t>
      </w:r>
      <w:r w:rsidR="00EE1D72" w:rsidRPr="006869FB">
        <w:rPr>
          <w:rFonts w:ascii="Arial" w:hAnsi="Arial" w:cs="Arial"/>
          <w:sz w:val="20"/>
          <w:szCs w:val="20"/>
        </w:rPr>
        <w:t>gap analysis</w:t>
      </w:r>
      <w:r w:rsidR="003F50EA" w:rsidRPr="006869FB">
        <w:rPr>
          <w:rFonts w:ascii="Arial" w:hAnsi="Arial" w:cs="Arial"/>
          <w:sz w:val="20"/>
          <w:szCs w:val="20"/>
        </w:rPr>
        <w:t xml:space="preserve"> </w:t>
      </w:r>
      <w:r w:rsidRPr="006869FB">
        <w:rPr>
          <w:rFonts w:ascii="Arial" w:hAnsi="Arial" w:cs="Arial"/>
          <w:sz w:val="20"/>
          <w:szCs w:val="20"/>
        </w:rPr>
        <w:t xml:space="preserve">from a programmatic analysis </w:t>
      </w:r>
    </w:p>
    <w:p w14:paraId="345F9048" w14:textId="684330E0" w:rsidR="00D43D9C" w:rsidRPr="006869FB" w:rsidRDefault="00B86B72" w:rsidP="0020756E">
      <w:pPr>
        <w:spacing w:before="120"/>
        <w:jc w:val="both"/>
        <w:rPr>
          <w:rFonts w:ascii="Arial" w:hAnsi="Arial" w:cs="Arial"/>
          <w:sz w:val="20"/>
          <w:szCs w:val="20"/>
        </w:rPr>
      </w:pPr>
      <w:r w:rsidRPr="006869FB">
        <w:rPr>
          <w:rFonts w:ascii="Arial" w:hAnsi="Arial" w:cs="Arial"/>
          <w:b/>
          <w:i/>
          <w:sz w:val="20"/>
          <w:szCs w:val="20"/>
        </w:rPr>
        <w:t xml:space="preserve">Harmonization and </w:t>
      </w:r>
      <w:r w:rsidR="006F2A0A">
        <w:rPr>
          <w:rFonts w:ascii="Arial" w:hAnsi="Arial" w:cs="Arial"/>
          <w:b/>
          <w:i/>
          <w:sz w:val="20"/>
          <w:szCs w:val="20"/>
        </w:rPr>
        <w:t>a</w:t>
      </w:r>
      <w:r w:rsidRPr="006869FB">
        <w:rPr>
          <w:rFonts w:ascii="Arial" w:hAnsi="Arial" w:cs="Arial"/>
          <w:b/>
          <w:i/>
          <w:sz w:val="20"/>
          <w:szCs w:val="20"/>
        </w:rPr>
        <w:t>lignment</w:t>
      </w:r>
      <w:r w:rsidRPr="006869FB">
        <w:rPr>
          <w:rFonts w:ascii="Arial" w:hAnsi="Arial" w:cs="Arial"/>
          <w:sz w:val="20"/>
          <w:szCs w:val="20"/>
        </w:rPr>
        <w:t xml:space="preserve">: </w:t>
      </w:r>
      <w:r w:rsidR="003F50EA" w:rsidRPr="006869FB">
        <w:rPr>
          <w:rFonts w:ascii="Arial" w:hAnsi="Arial" w:cs="Arial"/>
          <w:sz w:val="20"/>
          <w:szCs w:val="20"/>
        </w:rPr>
        <w:t xml:space="preserve">the </w:t>
      </w:r>
      <w:r w:rsidRPr="006869FB">
        <w:rPr>
          <w:rFonts w:ascii="Arial" w:hAnsi="Arial" w:cs="Arial"/>
          <w:sz w:val="20"/>
          <w:szCs w:val="20"/>
        </w:rPr>
        <w:t xml:space="preserve">gap analysis </w:t>
      </w:r>
      <w:r w:rsidR="003F50EA" w:rsidRPr="006869FB">
        <w:rPr>
          <w:rFonts w:ascii="Arial" w:hAnsi="Arial" w:cs="Arial"/>
          <w:sz w:val="20"/>
          <w:szCs w:val="20"/>
        </w:rPr>
        <w:t xml:space="preserve">is based </w:t>
      </w:r>
      <w:r w:rsidRPr="006869FB">
        <w:rPr>
          <w:rFonts w:ascii="Arial" w:hAnsi="Arial" w:cs="Arial"/>
          <w:sz w:val="20"/>
          <w:szCs w:val="20"/>
        </w:rPr>
        <w:t>on the national strategic plan. Partner coordination, harmonization and information sharing will facilitate consensus on the programmatic and financial gaps</w:t>
      </w:r>
      <w:r w:rsidR="00D43D9C" w:rsidRPr="006869FB">
        <w:rPr>
          <w:rFonts w:ascii="Arial" w:hAnsi="Arial" w:cs="Arial"/>
          <w:sz w:val="20"/>
          <w:szCs w:val="20"/>
        </w:rPr>
        <w:t xml:space="preserve">. </w:t>
      </w:r>
      <w:r w:rsidR="00DB2C69" w:rsidRPr="006869FB">
        <w:rPr>
          <w:rFonts w:ascii="Arial" w:hAnsi="Arial" w:cs="Arial"/>
          <w:sz w:val="20"/>
          <w:szCs w:val="20"/>
        </w:rPr>
        <w:t xml:space="preserve">The </w:t>
      </w:r>
      <w:r w:rsidR="00B56E8B" w:rsidRPr="006869FB">
        <w:rPr>
          <w:rFonts w:ascii="Arial" w:hAnsi="Arial" w:cs="Arial"/>
          <w:sz w:val="20"/>
          <w:szCs w:val="20"/>
        </w:rPr>
        <w:t>Programmatic Gap</w:t>
      </w:r>
      <w:r w:rsidR="00D43D9C" w:rsidRPr="006869FB">
        <w:rPr>
          <w:rFonts w:ascii="Arial" w:hAnsi="Arial" w:cs="Arial"/>
          <w:sz w:val="20"/>
          <w:szCs w:val="20"/>
        </w:rPr>
        <w:t xml:space="preserve"> analysis </w:t>
      </w:r>
      <w:r w:rsidR="00DB2C69" w:rsidRPr="006869FB">
        <w:rPr>
          <w:rFonts w:ascii="Arial" w:hAnsi="Arial" w:cs="Arial"/>
          <w:sz w:val="20"/>
          <w:szCs w:val="20"/>
        </w:rPr>
        <w:t xml:space="preserve">is an integral </w:t>
      </w:r>
      <w:r w:rsidR="00D43D9C" w:rsidRPr="006869FB">
        <w:rPr>
          <w:rFonts w:ascii="Arial" w:hAnsi="Arial" w:cs="Arial"/>
          <w:sz w:val="20"/>
          <w:szCs w:val="20"/>
        </w:rPr>
        <w:t>part of the program</w:t>
      </w:r>
      <w:r w:rsidR="00D00EB7" w:rsidRPr="006869FB">
        <w:rPr>
          <w:rFonts w:ascii="Arial" w:hAnsi="Arial" w:cs="Arial"/>
          <w:sz w:val="20"/>
          <w:szCs w:val="20"/>
        </w:rPr>
        <w:t>me</w:t>
      </w:r>
      <w:r w:rsidR="00D43D9C" w:rsidRPr="006869FB">
        <w:rPr>
          <w:rFonts w:ascii="Arial" w:hAnsi="Arial" w:cs="Arial"/>
          <w:sz w:val="20"/>
          <w:szCs w:val="20"/>
        </w:rPr>
        <w:t xml:space="preserve"> planning and implementation cycle and </w:t>
      </w:r>
      <w:r w:rsidR="00DB46FE" w:rsidRPr="006869FB">
        <w:rPr>
          <w:rFonts w:ascii="Arial" w:hAnsi="Arial" w:cs="Arial"/>
          <w:sz w:val="20"/>
          <w:szCs w:val="20"/>
        </w:rPr>
        <w:t xml:space="preserve">is </w:t>
      </w:r>
      <w:r w:rsidR="00D43D9C" w:rsidRPr="006869FB">
        <w:rPr>
          <w:rFonts w:ascii="Arial" w:hAnsi="Arial" w:cs="Arial"/>
          <w:sz w:val="20"/>
          <w:szCs w:val="20"/>
        </w:rPr>
        <w:t>not a stand-alone exercise.</w:t>
      </w:r>
      <w:r w:rsidR="003F50EA" w:rsidRPr="006869FB">
        <w:rPr>
          <w:rFonts w:ascii="Arial" w:hAnsi="Arial" w:cs="Arial"/>
          <w:sz w:val="20"/>
          <w:szCs w:val="20"/>
        </w:rPr>
        <w:t xml:space="preserve"> It should be </w:t>
      </w:r>
      <w:r w:rsidR="00DB2C69" w:rsidRPr="006869FB">
        <w:rPr>
          <w:rFonts w:ascii="Arial" w:hAnsi="Arial" w:cs="Arial"/>
          <w:sz w:val="20"/>
          <w:szCs w:val="20"/>
        </w:rPr>
        <w:t xml:space="preserve">updated </w:t>
      </w:r>
      <w:r w:rsidR="003F50EA" w:rsidRPr="006869FB">
        <w:rPr>
          <w:rFonts w:ascii="Arial" w:hAnsi="Arial" w:cs="Arial"/>
          <w:sz w:val="20"/>
          <w:szCs w:val="20"/>
        </w:rPr>
        <w:t>regularly when new information becomes available.</w:t>
      </w:r>
      <w:r w:rsidR="00D43D9C" w:rsidRPr="006869FB">
        <w:rPr>
          <w:rFonts w:ascii="Arial" w:hAnsi="Arial" w:cs="Arial"/>
          <w:sz w:val="20"/>
          <w:szCs w:val="20"/>
        </w:rPr>
        <w:t xml:space="preserve"> </w:t>
      </w:r>
    </w:p>
    <w:p w14:paraId="0E25D3E9" w14:textId="62023114" w:rsidR="00DB46FE" w:rsidRPr="006869FB" w:rsidRDefault="00B86B72" w:rsidP="0020756E">
      <w:pPr>
        <w:spacing w:before="120"/>
        <w:jc w:val="both"/>
        <w:rPr>
          <w:rFonts w:ascii="Arial" w:hAnsi="Arial" w:cs="Arial"/>
          <w:sz w:val="20"/>
          <w:szCs w:val="20"/>
        </w:rPr>
      </w:pPr>
      <w:r w:rsidRPr="006869FB">
        <w:rPr>
          <w:rFonts w:ascii="Arial" w:hAnsi="Arial" w:cs="Arial"/>
          <w:b/>
          <w:i/>
          <w:sz w:val="20"/>
          <w:szCs w:val="20"/>
        </w:rPr>
        <w:t>Equity</w:t>
      </w:r>
      <w:r w:rsidRPr="006869FB">
        <w:rPr>
          <w:rFonts w:ascii="Arial" w:hAnsi="Arial" w:cs="Arial"/>
          <w:sz w:val="20"/>
          <w:szCs w:val="20"/>
        </w:rPr>
        <w:t>: While assessing coverage of intervention</w:t>
      </w:r>
      <w:r w:rsidR="003F50EA" w:rsidRPr="006869FB">
        <w:rPr>
          <w:rFonts w:ascii="Arial" w:hAnsi="Arial" w:cs="Arial"/>
          <w:sz w:val="20"/>
          <w:szCs w:val="20"/>
        </w:rPr>
        <w:t>s</w:t>
      </w:r>
      <w:r w:rsidRPr="006869FB">
        <w:rPr>
          <w:rFonts w:ascii="Arial" w:hAnsi="Arial" w:cs="Arial"/>
          <w:sz w:val="20"/>
          <w:szCs w:val="20"/>
        </w:rPr>
        <w:t>, it</w:t>
      </w:r>
      <w:r w:rsidR="003F50EA" w:rsidRPr="006869FB">
        <w:rPr>
          <w:rFonts w:ascii="Arial" w:hAnsi="Arial" w:cs="Arial"/>
          <w:sz w:val="20"/>
          <w:szCs w:val="20"/>
        </w:rPr>
        <w:t xml:space="preserve"> is </w:t>
      </w:r>
      <w:r w:rsidRPr="006869FB">
        <w:rPr>
          <w:rFonts w:ascii="Arial" w:hAnsi="Arial" w:cs="Arial"/>
          <w:sz w:val="20"/>
          <w:szCs w:val="20"/>
        </w:rPr>
        <w:t xml:space="preserve">important for </w:t>
      </w:r>
      <w:r w:rsidR="003F50EA" w:rsidRPr="006869FB">
        <w:rPr>
          <w:rFonts w:ascii="Arial" w:hAnsi="Arial" w:cs="Arial"/>
          <w:sz w:val="20"/>
          <w:szCs w:val="20"/>
        </w:rPr>
        <w:t xml:space="preserve">the </w:t>
      </w:r>
      <w:r w:rsidR="00D00EB7" w:rsidRPr="006869FB">
        <w:rPr>
          <w:rFonts w:ascii="Arial" w:hAnsi="Arial" w:cs="Arial"/>
          <w:sz w:val="20"/>
          <w:szCs w:val="20"/>
        </w:rPr>
        <w:t xml:space="preserve">national </w:t>
      </w:r>
      <w:r w:rsidRPr="006869FB">
        <w:rPr>
          <w:rFonts w:ascii="Arial" w:hAnsi="Arial" w:cs="Arial"/>
          <w:sz w:val="20"/>
          <w:szCs w:val="20"/>
        </w:rPr>
        <w:t>malaria program</w:t>
      </w:r>
      <w:r w:rsidR="00D00EB7" w:rsidRPr="006869FB">
        <w:rPr>
          <w:rFonts w:ascii="Arial" w:hAnsi="Arial" w:cs="Arial"/>
          <w:sz w:val="20"/>
          <w:szCs w:val="20"/>
        </w:rPr>
        <w:t>me</w:t>
      </w:r>
      <w:r w:rsidRPr="006869FB">
        <w:rPr>
          <w:rFonts w:ascii="Arial" w:hAnsi="Arial" w:cs="Arial"/>
          <w:sz w:val="20"/>
          <w:szCs w:val="20"/>
        </w:rPr>
        <w:t xml:space="preserve"> </w:t>
      </w:r>
      <w:r w:rsidR="003F50EA" w:rsidRPr="006869FB">
        <w:rPr>
          <w:rFonts w:ascii="Arial" w:hAnsi="Arial" w:cs="Arial"/>
          <w:sz w:val="20"/>
          <w:szCs w:val="20"/>
        </w:rPr>
        <w:t xml:space="preserve">to </w:t>
      </w:r>
      <w:r w:rsidRPr="006869FB">
        <w:rPr>
          <w:rFonts w:ascii="Arial" w:hAnsi="Arial" w:cs="Arial"/>
          <w:sz w:val="20"/>
          <w:szCs w:val="20"/>
        </w:rPr>
        <w:t>identify any disparity relat</w:t>
      </w:r>
      <w:r w:rsidR="003F50EA" w:rsidRPr="006869FB">
        <w:rPr>
          <w:rFonts w:ascii="Arial" w:hAnsi="Arial" w:cs="Arial"/>
          <w:sz w:val="20"/>
          <w:szCs w:val="20"/>
        </w:rPr>
        <w:t xml:space="preserve">ing to </w:t>
      </w:r>
      <w:r w:rsidR="009D19F7" w:rsidRPr="006869FB">
        <w:rPr>
          <w:rFonts w:ascii="Arial" w:hAnsi="Arial" w:cs="Arial"/>
          <w:sz w:val="20"/>
          <w:szCs w:val="20"/>
        </w:rPr>
        <w:t xml:space="preserve">gender, </w:t>
      </w:r>
      <w:r w:rsidRPr="006869FB">
        <w:rPr>
          <w:rFonts w:ascii="Arial" w:hAnsi="Arial" w:cs="Arial"/>
          <w:sz w:val="20"/>
          <w:szCs w:val="20"/>
        </w:rPr>
        <w:t xml:space="preserve">geographic location, </w:t>
      </w:r>
      <w:r w:rsidR="009D19F7" w:rsidRPr="006869FB">
        <w:rPr>
          <w:rFonts w:ascii="Arial" w:hAnsi="Arial" w:cs="Arial"/>
          <w:sz w:val="20"/>
          <w:szCs w:val="20"/>
        </w:rPr>
        <w:t xml:space="preserve">particular </w:t>
      </w:r>
      <w:r w:rsidRPr="006869FB">
        <w:rPr>
          <w:rFonts w:ascii="Arial" w:hAnsi="Arial" w:cs="Arial"/>
          <w:sz w:val="20"/>
          <w:szCs w:val="20"/>
        </w:rPr>
        <w:t>population groups</w:t>
      </w:r>
      <w:r w:rsidR="00476FAC" w:rsidRPr="006869FB">
        <w:rPr>
          <w:rFonts w:ascii="Arial" w:hAnsi="Arial" w:cs="Arial"/>
          <w:sz w:val="20"/>
          <w:szCs w:val="20"/>
        </w:rPr>
        <w:t xml:space="preserve"> </w:t>
      </w:r>
      <w:r w:rsidRPr="006869FB">
        <w:rPr>
          <w:rFonts w:ascii="Arial" w:hAnsi="Arial" w:cs="Arial"/>
          <w:sz w:val="20"/>
          <w:szCs w:val="20"/>
        </w:rPr>
        <w:t xml:space="preserve">or age groups to make sure that the recommended implementation strategies </w:t>
      </w:r>
      <w:r w:rsidR="003F50EA" w:rsidRPr="006869FB">
        <w:rPr>
          <w:rFonts w:ascii="Arial" w:hAnsi="Arial" w:cs="Arial"/>
          <w:sz w:val="20"/>
          <w:szCs w:val="20"/>
        </w:rPr>
        <w:t>are comprehensive</w:t>
      </w:r>
      <w:r w:rsidR="00DB2C69" w:rsidRPr="006869FB">
        <w:rPr>
          <w:rFonts w:ascii="Arial" w:hAnsi="Arial" w:cs="Arial"/>
          <w:sz w:val="20"/>
          <w:szCs w:val="20"/>
        </w:rPr>
        <w:t xml:space="preserve"> and equitabl</w:t>
      </w:r>
      <w:r w:rsidR="00D00EB7" w:rsidRPr="006869FB">
        <w:rPr>
          <w:rFonts w:ascii="Arial" w:hAnsi="Arial" w:cs="Arial"/>
          <w:sz w:val="20"/>
          <w:szCs w:val="20"/>
        </w:rPr>
        <w:t>e</w:t>
      </w:r>
      <w:r w:rsidR="003F50EA" w:rsidRPr="006869FB">
        <w:rPr>
          <w:rFonts w:ascii="Arial" w:hAnsi="Arial" w:cs="Arial"/>
          <w:sz w:val="20"/>
          <w:szCs w:val="20"/>
        </w:rPr>
        <w:t>.</w:t>
      </w:r>
      <w:r w:rsidR="00DB2C69" w:rsidRPr="006869FB">
        <w:rPr>
          <w:rFonts w:ascii="Arial" w:hAnsi="Arial" w:cs="Arial"/>
          <w:sz w:val="20"/>
          <w:szCs w:val="20"/>
        </w:rPr>
        <w:t xml:space="preserve"> Particular attention should be given to the very vulnerable populations and the </w:t>
      </w:r>
      <w:r w:rsidR="00EE5EED" w:rsidRPr="006869FB">
        <w:rPr>
          <w:rFonts w:ascii="Arial" w:hAnsi="Arial" w:cs="Arial"/>
          <w:sz w:val="20"/>
          <w:szCs w:val="20"/>
        </w:rPr>
        <w:t>hard-to-reach</w:t>
      </w:r>
      <w:r w:rsidR="00DB2C69" w:rsidRPr="006869FB">
        <w:rPr>
          <w:rFonts w:ascii="Arial" w:hAnsi="Arial" w:cs="Arial"/>
          <w:sz w:val="20"/>
          <w:szCs w:val="20"/>
        </w:rPr>
        <w:t xml:space="preserve"> groups</w:t>
      </w:r>
      <w:r w:rsidR="00DB46FE" w:rsidRPr="006869FB">
        <w:rPr>
          <w:rFonts w:ascii="Arial" w:hAnsi="Arial" w:cs="Arial"/>
          <w:sz w:val="20"/>
          <w:szCs w:val="20"/>
        </w:rPr>
        <w:t xml:space="preserve"> </w:t>
      </w:r>
      <w:r w:rsidR="00D00EB7" w:rsidRPr="006869FB">
        <w:rPr>
          <w:rFonts w:ascii="Arial" w:hAnsi="Arial" w:cs="Arial"/>
          <w:sz w:val="20"/>
          <w:szCs w:val="20"/>
        </w:rPr>
        <w:t xml:space="preserve">such as </w:t>
      </w:r>
      <w:r w:rsidR="00DB46FE" w:rsidRPr="006869FB">
        <w:rPr>
          <w:rFonts w:ascii="Arial" w:hAnsi="Arial" w:cs="Arial"/>
          <w:sz w:val="20"/>
          <w:szCs w:val="20"/>
        </w:rPr>
        <w:t xml:space="preserve">refugees and </w:t>
      </w:r>
      <w:r w:rsidR="006F2A0A">
        <w:rPr>
          <w:rFonts w:ascii="Arial" w:hAnsi="Arial" w:cs="Arial"/>
          <w:sz w:val="20"/>
          <w:szCs w:val="20"/>
        </w:rPr>
        <w:t>internally displaced people (</w:t>
      </w:r>
      <w:r w:rsidR="00DB46FE" w:rsidRPr="006869FB">
        <w:rPr>
          <w:rFonts w:ascii="Arial" w:hAnsi="Arial" w:cs="Arial"/>
          <w:sz w:val="20"/>
          <w:szCs w:val="20"/>
        </w:rPr>
        <w:t>IDPs</w:t>
      </w:r>
      <w:r w:rsidR="006F2A0A">
        <w:rPr>
          <w:rFonts w:ascii="Arial" w:hAnsi="Arial" w:cs="Arial"/>
          <w:sz w:val="20"/>
          <w:szCs w:val="20"/>
        </w:rPr>
        <w:t>)</w:t>
      </w:r>
      <w:r w:rsidR="00DB2C69" w:rsidRPr="006869FB">
        <w:rPr>
          <w:rFonts w:ascii="Arial" w:hAnsi="Arial" w:cs="Arial"/>
          <w:sz w:val="20"/>
          <w:szCs w:val="20"/>
        </w:rPr>
        <w:t>.</w:t>
      </w:r>
    </w:p>
    <w:p w14:paraId="04878E34" w14:textId="20618F60" w:rsidR="00B86B72" w:rsidRPr="006869FB" w:rsidRDefault="00B86B72" w:rsidP="0020756E">
      <w:pPr>
        <w:spacing w:before="120"/>
        <w:jc w:val="both"/>
        <w:rPr>
          <w:rFonts w:ascii="Arial" w:hAnsi="Arial" w:cs="Arial"/>
          <w:sz w:val="20"/>
          <w:szCs w:val="20"/>
        </w:rPr>
      </w:pPr>
      <w:r w:rsidRPr="006869FB">
        <w:rPr>
          <w:rFonts w:ascii="Arial" w:hAnsi="Arial" w:cs="Arial"/>
          <w:b/>
          <w:i/>
          <w:sz w:val="20"/>
          <w:szCs w:val="20"/>
        </w:rPr>
        <w:t>Transparency and accountability</w:t>
      </w:r>
      <w:r w:rsidRPr="006869FB">
        <w:rPr>
          <w:rFonts w:ascii="Arial" w:hAnsi="Arial" w:cs="Arial"/>
          <w:sz w:val="20"/>
          <w:szCs w:val="20"/>
        </w:rPr>
        <w:t>: Transparent information sharing between the malaria program</w:t>
      </w:r>
      <w:r w:rsidR="00D00EB7" w:rsidRPr="006869FB">
        <w:rPr>
          <w:rFonts w:ascii="Arial" w:hAnsi="Arial" w:cs="Arial"/>
          <w:sz w:val="20"/>
          <w:szCs w:val="20"/>
        </w:rPr>
        <w:t>me</w:t>
      </w:r>
      <w:r w:rsidRPr="006869FB">
        <w:rPr>
          <w:rFonts w:ascii="Arial" w:hAnsi="Arial" w:cs="Arial"/>
          <w:sz w:val="20"/>
          <w:szCs w:val="20"/>
        </w:rPr>
        <w:t xml:space="preserve"> and partners will avoid duplication of efforts</w:t>
      </w:r>
      <w:r w:rsidR="006F2A0A">
        <w:rPr>
          <w:rFonts w:ascii="Arial" w:hAnsi="Arial" w:cs="Arial"/>
          <w:sz w:val="20"/>
          <w:szCs w:val="20"/>
        </w:rPr>
        <w:t>, effective use of resources</w:t>
      </w:r>
      <w:r w:rsidR="00FF167B" w:rsidRPr="006869FB">
        <w:rPr>
          <w:rFonts w:ascii="Arial" w:hAnsi="Arial" w:cs="Arial"/>
          <w:sz w:val="20"/>
          <w:szCs w:val="20"/>
        </w:rPr>
        <w:t xml:space="preserve"> and ensure mutual accountability.</w:t>
      </w:r>
      <w:r w:rsidR="003F50EA" w:rsidRPr="006869FB">
        <w:rPr>
          <w:rFonts w:ascii="Arial" w:hAnsi="Arial" w:cs="Arial"/>
          <w:sz w:val="20"/>
          <w:szCs w:val="20"/>
        </w:rPr>
        <w:t xml:space="preserve"> </w:t>
      </w:r>
      <w:r w:rsidR="00FF167B" w:rsidRPr="006869FB">
        <w:rPr>
          <w:rFonts w:ascii="Arial" w:hAnsi="Arial" w:cs="Arial"/>
          <w:sz w:val="20"/>
          <w:szCs w:val="20"/>
        </w:rPr>
        <w:t xml:space="preserve"> </w:t>
      </w:r>
    </w:p>
    <w:p w14:paraId="5F670574" w14:textId="77777777" w:rsidR="007D5468" w:rsidRPr="006869FB" w:rsidRDefault="00FB3C97" w:rsidP="007A7518">
      <w:pPr>
        <w:pStyle w:val="Heading2"/>
      </w:pPr>
      <w:r w:rsidRPr="006869FB">
        <w:t>Method</w:t>
      </w:r>
      <w:r w:rsidR="00D43D9C" w:rsidRPr="006869FB">
        <w:t>s</w:t>
      </w:r>
      <w:r w:rsidRPr="006869FB">
        <w:t xml:space="preserve"> for malaria programmatic gap analysis </w:t>
      </w:r>
    </w:p>
    <w:p w14:paraId="5C41B916" w14:textId="367C945B" w:rsidR="00D3572C" w:rsidRPr="006869FB" w:rsidRDefault="0053632F" w:rsidP="0020756E">
      <w:pPr>
        <w:spacing w:before="120"/>
        <w:jc w:val="both"/>
        <w:rPr>
          <w:rFonts w:ascii="Arial" w:hAnsi="Arial" w:cs="Arial"/>
          <w:sz w:val="20"/>
          <w:szCs w:val="20"/>
        </w:rPr>
      </w:pPr>
      <w:r w:rsidRPr="006869FB">
        <w:rPr>
          <w:rFonts w:ascii="Arial" w:hAnsi="Arial" w:cs="Arial"/>
          <w:sz w:val="20"/>
          <w:szCs w:val="20"/>
        </w:rPr>
        <w:t>The R</w:t>
      </w:r>
      <w:r w:rsidR="007C1BF2" w:rsidRPr="006869FB">
        <w:rPr>
          <w:rFonts w:ascii="Arial" w:hAnsi="Arial" w:cs="Arial"/>
          <w:sz w:val="20"/>
          <w:szCs w:val="20"/>
        </w:rPr>
        <w:t xml:space="preserve">BM Partnership </w:t>
      </w:r>
      <w:r w:rsidR="00827FD2" w:rsidRPr="006869FB">
        <w:rPr>
          <w:rFonts w:ascii="Arial" w:hAnsi="Arial" w:cs="Arial"/>
          <w:sz w:val="20"/>
          <w:szCs w:val="20"/>
        </w:rPr>
        <w:t xml:space="preserve">Country Regional Support </w:t>
      </w:r>
      <w:r w:rsidR="00541ABF" w:rsidRPr="006869FB">
        <w:rPr>
          <w:rFonts w:ascii="Arial" w:hAnsi="Arial" w:cs="Arial"/>
          <w:sz w:val="20"/>
          <w:szCs w:val="20"/>
        </w:rPr>
        <w:t xml:space="preserve">Partnership </w:t>
      </w:r>
      <w:r w:rsidR="00827FD2" w:rsidRPr="006869FB">
        <w:rPr>
          <w:rFonts w:ascii="Arial" w:hAnsi="Arial" w:cs="Arial"/>
          <w:sz w:val="20"/>
          <w:szCs w:val="20"/>
        </w:rPr>
        <w:t>Committee</w:t>
      </w:r>
      <w:r w:rsidR="008E7065" w:rsidRPr="006869FB">
        <w:rPr>
          <w:rFonts w:ascii="Arial" w:hAnsi="Arial" w:cs="Arial"/>
          <w:sz w:val="20"/>
          <w:szCs w:val="20"/>
        </w:rPr>
        <w:t xml:space="preserve"> (</w:t>
      </w:r>
      <w:r w:rsidR="005274A9" w:rsidRPr="006869FB">
        <w:rPr>
          <w:rFonts w:ascii="Arial" w:hAnsi="Arial" w:cs="Arial"/>
          <w:sz w:val="20"/>
          <w:szCs w:val="20"/>
        </w:rPr>
        <w:t>CRSPC</w:t>
      </w:r>
      <w:r w:rsidR="008E7065" w:rsidRPr="006869FB">
        <w:rPr>
          <w:rFonts w:ascii="Arial" w:hAnsi="Arial" w:cs="Arial"/>
          <w:sz w:val="20"/>
          <w:szCs w:val="20"/>
        </w:rPr>
        <w:t>)</w:t>
      </w:r>
      <w:r w:rsidRPr="006869FB">
        <w:rPr>
          <w:rFonts w:ascii="Arial" w:hAnsi="Arial" w:cs="Arial"/>
          <w:sz w:val="20"/>
          <w:szCs w:val="20"/>
        </w:rPr>
        <w:t xml:space="preserve"> recommend</w:t>
      </w:r>
      <w:r w:rsidR="003F50EA" w:rsidRPr="006869FB">
        <w:rPr>
          <w:rFonts w:ascii="Arial" w:hAnsi="Arial" w:cs="Arial"/>
          <w:sz w:val="20"/>
          <w:szCs w:val="20"/>
        </w:rPr>
        <w:t xml:space="preserve">s </w:t>
      </w:r>
      <w:r w:rsidRPr="006869FB">
        <w:rPr>
          <w:rFonts w:ascii="Arial" w:hAnsi="Arial" w:cs="Arial"/>
          <w:sz w:val="20"/>
          <w:szCs w:val="20"/>
        </w:rPr>
        <w:t>all countries undertake a comprehensive program</w:t>
      </w:r>
      <w:r w:rsidR="00D00EB7" w:rsidRPr="006869FB">
        <w:rPr>
          <w:rFonts w:ascii="Arial" w:hAnsi="Arial" w:cs="Arial"/>
          <w:sz w:val="20"/>
          <w:szCs w:val="20"/>
        </w:rPr>
        <w:t>me</w:t>
      </w:r>
      <w:r w:rsidRPr="006869FB">
        <w:rPr>
          <w:rFonts w:ascii="Arial" w:hAnsi="Arial" w:cs="Arial"/>
          <w:sz w:val="20"/>
          <w:szCs w:val="20"/>
        </w:rPr>
        <w:t xml:space="preserve"> performance review that will be the basis for an evidence-based </w:t>
      </w:r>
      <w:r w:rsidR="00DB2C69" w:rsidRPr="006869FB">
        <w:rPr>
          <w:rFonts w:ascii="Arial" w:hAnsi="Arial" w:cs="Arial"/>
          <w:sz w:val="20"/>
          <w:szCs w:val="20"/>
        </w:rPr>
        <w:t>N</w:t>
      </w:r>
      <w:r w:rsidR="00DB46FE" w:rsidRPr="006869FB">
        <w:rPr>
          <w:rFonts w:ascii="Arial" w:hAnsi="Arial" w:cs="Arial"/>
          <w:sz w:val="20"/>
          <w:szCs w:val="20"/>
        </w:rPr>
        <w:t xml:space="preserve">ational </w:t>
      </w:r>
      <w:r w:rsidR="00DB2C69" w:rsidRPr="006869FB">
        <w:rPr>
          <w:rFonts w:ascii="Arial" w:hAnsi="Arial" w:cs="Arial"/>
          <w:sz w:val="20"/>
          <w:szCs w:val="20"/>
        </w:rPr>
        <w:t>S</w:t>
      </w:r>
      <w:r w:rsidR="00DB46FE" w:rsidRPr="006869FB">
        <w:rPr>
          <w:rFonts w:ascii="Arial" w:hAnsi="Arial" w:cs="Arial"/>
          <w:sz w:val="20"/>
          <w:szCs w:val="20"/>
        </w:rPr>
        <w:t xml:space="preserve">trategic </w:t>
      </w:r>
      <w:r w:rsidR="00DB2C69" w:rsidRPr="006869FB">
        <w:rPr>
          <w:rFonts w:ascii="Arial" w:hAnsi="Arial" w:cs="Arial"/>
          <w:sz w:val="20"/>
          <w:szCs w:val="20"/>
        </w:rPr>
        <w:t>P</w:t>
      </w:r>
      <w:r w:rsidR="00DB46FE" w:rsidRPr="006869FB">
        <w:rPr>
          <w:rFonts w:ascii="Arial" w:hAnsi="Arial" w:cs="Arial"/>
          <w:sz w:val="20"/>
          <w:szCs w:val="20"/>
        </w:rPr>
        <w:t>lan</w:t>
      </w:r>
      <w:r w:rsidRPr="006869FB">
        <w:rPr>
          <w:rFonts w:ascii="Arial" w:hAnsi="Arial" w:cs="Arial"/>
          <w:sz w:val="20"/>
          <w:szCs w:val="20"/>
        </w:rPr>
        <w:t xml:space="preserve">. </w:t>
      </w:r>
      <w:proofErr w:type="gramStart"/>
      <w:r w:rsidRPr="006869FB">
        <w:rPr>
          <w:rFonts w:ascii="Arial" w:hAnsi="Arial" w:cs="Arial"/>
          <w:sz w:val="20"/>
          <w:szCs w:val="20"/>
        </w:rPr>
        <w:t>In order to</w:t>
      </w:r>
      <w:proofErr w:type="gramEnd"/>
      <w:r w:rsidRPr="006869FB">
        <w:rPr>
          <w:rFonts w:ascii="Arial" w:hAnsi="Arial" w:cs="Arial"/>
          <w:sz w:val="20"/>
          <w:szCs w:val="20"/>
        </w:rPr>
        <w:t xml:space="preserve"> facilitate </w:t>
      </w:r>
      <w:r w:rsidR="00D823C1" w:rsidRPr="006869FB">
        <w:rPr>
          <w:rFonts w:ascii="Arial" w:hAnsi="Arial" w:cs="Arial"/>
          <w:sz w:val="20"/>
          <w:szCs w:val="20"/>
        </w:rPr>
        <w:t xml:space="preserve">the </w:t>
      </w:r>
      <w:r w:rsidRPr="006869FB">
        <w:rPr>
          <w:rFonts w:ascii="Arial" w:hAnsi="Arial" w:cs="Arial"/>
          <w:sz w:val="20"/>
          <w:szCs w:val="20"/>
        </w:rPr>
        <w:t xml:space="preserve">gap analysis, the </w:t>
      </w:r>
      <w:r w:rsidR="005274A9" w:rsidRPr="006869FB">
        <w:rPr>
          <w:rFonts w:ascii="Arial" w:hAnsi="Arial" w:cs="Arial"/>
          <w:sz w:val="20"/>
          <w:szCs w:val="20"/>
        </w:rPr>
        <w:t>CRSPC</w:t>
      </w:r>
      <w:r w:rsidRPr="006869FB">
        <w:rPr>
          <w:rFonts w:ascii="Arial" w:hAnsi="Arial" w:cs="Arial"/>
          <w:sz w:val="20"/>
          <w:szCs w:val="20"/>
        </w:rPr>
        <w:t xml:space="preserve"> recommend</w:t>
      </w:r>
      <w:r w:rsidR="00D00EB7" w:rsidRPr="006869FB">
        <w:rPr>
          <w:rFonts w:ascii="Arial" w:hAnsi="Arial" w:cs="Arial"/>
          <w:sz w:val="20"/>
          <w:szCs w:val="20"/>
        </w:rPr>
        <w:t xml:space="preserve">s </w:t>
      </w:r>
      <w:r w:rsidR="00B56E8B" w:rsidRPr="006869FB">
        <w:rPr>
          <w:rFonts w:ascii="Arial" w:hAnsi="Arial" w:cs="Arial"/>
          <w:sz w:val="20"/>
          <w:szCs w:val="20"/>
        </w:rPr>
        <w:t>the development</w:t>
      </w:r>
      <w:r w:rsidR="00DB2C69" w:rsidRPr="006869FB">
        <w:rPr>
          <w:rFonts w:ascii="Arial" w:hAnsi="Arial" w:cs="Arial"/>
          <w:sz w:val="20"/>
          <w:szCs w:val="20"/>
        </w:rPr>
        <w:t xml:space="preserve"> </w:t>
      </w:r>
      <w:r w:rsidR="00B56E8B" w:rsidRPr="006869FB">
        <w:rPr>
          <w:rFonts w:ascii="Arial" w:hAnsi="Arial" w:cs="Arial"/>
          <w:sz w:val="20"/>
          <w:szCs w:val="20"/>
        </w:rPr>
        <w:t>of a</w:t>
      </w:r>
      <w:r w:rsidRPr="006869FB">
        <w:rPr>
          <w:rFonts w:ascii="Arial" w:hAnsi="Arial" w:cs="Arial"/>
          <w:sz w:val="20"/>
          <w:szCs w:val="20"/>
        </w:rPr>
        <w:t xml:space="preserve"> multiyear implementation</w:t>
      </w:r>
      <w:r w:rsidR="00B56E8B" w:rsidRPr="006869FB">
        <w:rPr>
          <w:rFonts w:ascii="Arial" w:hAnsi="Arial" w:cs="Arial"/>
          <w:sz w:val="20"/>
          <w:szCs w:val="20"/>
        </w:rPr>
        <w:t>/business</w:t>
      </w:r>
      <w:r w:rsidRPr="006869FB">
        <w:rPr>
          <w:rFonts w:ascii="Arial" w:hAnsi="Arial" w:cs="Arial"/>
          <w:sz w:val="20"/>
          <w:szCs w:val="20"/>
        </w:rPr>
        <w:t xml:space="preserve"> plan</w:t>
      </w:r>
      <w:r w:rsidR="00DB2C69" w:rsidRPr="006869FB">
        <w:rPr>
          <w:rFonts w:ascii="Arial" w:hAnsi="Arial" w:cs="Arial"/>
          <w:sz w:val="20"/>
          <w:szCs w:val="20"/>
        </w:rPr>
        <w:t>,</w:t>
      </w:r>
      <w:r w:rsidRPr="006869FB">
        <w:rPr>
          <w:rFonts w:ascii="Arial" w:hAnsi="Arial" w:cs="Arial"/>
          <w:sz w:val="20"/>
          <w:szCs w:val="20"/>
        </w:rPr>
        <w:t xml:space="preserve"> and an annual operational plan </w:t>
      </w:r>
      <w:r w:rsidR="00DB2C69" w:rsidRPr="006869FB">
        <w:rPr>
          <w:rFonts w:ascii="Arial" w:hAnsi="Arial" w:cs="Arial"/>
          <w:sz w:val="20"/>
          <w:szCs w:val="20"/>
        </w:rPr>
        <w:t>(</w:t>
      </w:r>
      <w:r w:rsidRPr="006869FB">
        <w:rPr>
          <w:rFonts w:ascii="Arial" w:hAnsi="Arial" w:cs="Arial"/>
          <w:sz w:val="20"/>
          <w:szCs w:val="20"/>
        </w:rPr>
        <w:t xml:space="preserve">to guide the </w:t>
      </w:r>
      <w:r w:rsidR="00EE5EED" w:rsidRPr="006869FB">
        <w:rPr>
          <w:rFonts w:ascii="Arial" w:hAnsi="Arial" w:cs="Arial"/>
          <w:sz w:val="20"/>
          <w:szCs w:val="20"/>
        </w:rPr>
        <w:lastRenderedPageBreak/>
        <w:t>day-to-day</w:t>
      </w:r>
      <w:r w:rsidRPr="006869FB">
        <w:rPr>
          <w:rFonts w:ascii="Arial" w:hAnsi="Arial" w:cs="Arial"/>
          <w:sz w:val="20"/>
          <w:szCs w:val="20"/>
        </w:rPr>
        <w:t xml:space="preserve"> work</w:t>
      </w:r>
      <w:r w:rsidR="00DB2C69" w:rsidRPr="006869FB">
        <w:rPr>
          <w:rFonts w:ascii="Arial" w:hAnsi="Arial" w:cs="Arial"/>
          <w:sz w:val="20"/>
          <w:szCs w:val="20"/>
        </w:rPr>
        <w:t>) from the NSP</w:t>
      </w:r>
      <w:r w:rsidRPr="006869FB">
        <w:rPr>
          <w:rFonts w:ascii="Arial" w:hAnsi="Arial" w:cs="Arial"/>
          <w:sz w:val="20"/>
          <w:szCs w:val="20"/>
        </w:rPr>
        <w:t xml:space="preserve">. </w:t>
      </w:r>
      <w:r w:rsidR="001C677A" w:rsidRPr="006869FB">
        <w:rPr>
          <w:rFonts w:ascii="Arial" w:hAnsi="Arial" w:cs="Arial"/>
          <w:sz w:val="20"/>
          <w:szCs w:val="20"/>
        </w:rPr>
        <w:t xml:space="preserve"> </w:t>
      </w:r>
      <w:r w:rsidR="0088477B" w:rsidRPr="006869FB">
        <w:rPr>
          <w:rFonts w:ascii="Arial" w:hAnsi="Arial" w:cs="Arial"/>
          <w:sz w:val="20"/>
          <w:szCs w:val="20"/>
        </w:rPr>
        <w:t xml:space="preserve">The results from </w:t>
      </w:r>
      <w:r w:rsidR="00D10746" w:rsidRPr="006869FB">
        <w:rPr>
          <w:rFonts w:ascii="Arial" w:hAnsi="Arial" w:cs="Arial"/>
          <w:sz w:val="20"/>
          <w:szCs w:val="20"/>
        </w:rPr>
        <w:t xml:space="preserve">country </w:t>
      </w:r>
      <w:r w:rsidR="0088477B" w:rsidRPr="006869FB">
        <w:rPr>
          <w:rFonts w:ascii="Arial" w:hAnsi="Arial" w:cs="Arial"/>
          <w:sz w:val="20"/>
          <w:szCs w:val="20"/>
        </w:rPr>
        <w:t xml:space="preserve">sub-national stratification and tailoring processes </w:t>
      </w:r>
      <w:r w:rsidR="00B66503" w:rsidRPr="006869FB">
        <w:rPr>
          <w:rFonts w:ascii="Arial" w:hAnsi="Arial" w:cs="Arial"/>
          <w:sz w:val="20"/>
          <w:szCs w:val="20"/>
        </w:rPr>
        <w:t xml:space="preserve">should be used </w:t>
      </w:r>
      <w:r w:rsidR="0088477B" w:rsidRPr="006869FB">
        <w:rPr>
          <w:rFonts w:ascii="Arial" w:hAnsi="Arial" w:cs="Arial"/>
          <w:sz w:val="20"/>
          <w:szCs w:val="20"/>
        </w:rPr>
        <w:t xml:space="preserve">to justify </w:t>
      </w:r>
      <w:r w:rsidR="00134906" w:rsidRPr="006869FB">
        <w:rPr>
          <w:rFonts w:ascii="Arial" w:hAnsi="Arial" w:cs="Arial"/>
          <w:sz w:val="20"/>
          <w:szCs w:val="20"/>
        </w:rPr>
        <w:t xml:space="preserve">the </w:t>
      </w:r>
      <w:r w:rsidR="0088477B" w:rsidRPr="006869FB">
        <w:rPr>
          <w:rFonts w:ascii="Arial" w:hAnsi="Arial" w:cs="Arial"/>
          <w:sz w:val="20"/>
          <w:szCs w:val="20"/>
        </w:rPr>
        <w:t xml:space="preserve">prioritization of interventions and geographical areas </w:t>
      </w:r>
      <w:r w:rsidR="00543789" w:rsidRPr="006869FB">
        <w:rPr>
          <w:rFonts w:ascii="Arial" w:hAnsi="Arial" w:cs="Arial"/>
          <w:sz w:val="20"/>
          <w:szCs w:val="20"/>
        </w:rPr>
        <w:t xml:space="preserve">particularly </w:t>
      </w:r>
      <w:r w:rsidR="0088477B" w:rsidRPr="006869FB">
        <w:rPr>
          <w:rFonts w:ascii="Arial" w:hAnsi="Arial" w:cs="Arial"/>
          <w:sz w:val="20"/>
          <w:szCs w:val="20"/>
        </w:rPr>
        <w:t>whe</w:t>
      </w:r>
      <w:r w:rsidR="00134906" w:rsidRPr="006869FB">
        <w:rPr>
          <w:rFonts w:ascii="Arial" w:hAnsi="Arial" w:cs="Arial"/>
          <w:sz w:val="20"/>
          <w:szCs w:val="20"/>
        </w:rPr>
        <w:t xml:space="preserve">n </w:t>
      </w:r>
      <w:r w:rsidR="0088477B" w:rsidRPr="006869FB">
        <w:rPr>
          <w:rFonts w:ascii="Arial" w:hAnsi="Arial" w:cs="Arial"/>
          <w:sz w:val="20"/>
          <w:szCs w:val="20"/>
        </w:rPr>
        <w:t xml:space="preserve">resources are insufficient to </w:t>
      </w:r>
      <w:r w:rsidR="00134906" w:rsidRPr="006869FB">
        <w:rPr>
          <w:rFonts w:ascii="Arial" w:hAnsi="Arial" w:cs="Arial"/>
          <w:sz w:val="20"/>
          <w:szCs w:val="20"/>
        </w:rPr>
        <w:t xml:space="preserve">cover all needs. </w:t>
      </w:r>
      <w:r w:rsidR="005E0FE5" w:rsidRPr="006869FB">
        <w:rPr>
          <w:rFonts w:ascii="Arial" w:hAnsi="Arial" w:cs="Arial"/>
          <w:sz w:val="20"/>
          <w:szCs w:val="20"/>
        </w:rPr>
        <w:t xml:space="preserve">The following steps are </w:t>
      </w:r>
      <w:r w:rsidR="00D00EB7" w:rsidRPr="006869FB">
        <w:rPr>
          <w:rFonts w:ascii="Arial" w:hAnsi="Arial" w:cs="Arial"/>
          <w:sz w:val="20"/>
          <w:szCs w:val="20"/>
        </w:rPr>
        <w:t>recommended</w:t>
      </w:r>
      <w:r w:rsidR="005E0FE5" w:rsidRPr="006869FB">
        <w:rPr>
          <w:rFonts w:ascii="Arial" w:hAnsi="Arial" w:cs="Arial"/>
          <w:sz w:val="20"/>
          <w:szCs w:val="20"/>
        </w:rPr>
        <w:t xml:space="preserve">: </w:t>
      </w:r>
    </w:p>
    <w:p w14:paraId="60665702" w14:textId="14E2945A" w:rsidR="005E0FE5" w:rsidRPr="006869FB" w:rsidRDefault="00D3572C" w:rsidP="0020756E">
      <w:pPr>
        <w:spacing w:before="120"/>
        <w:jc w:val="both"/>
        <w:rPr>
          <w:rFonts w:ascii="Arial" w:hAnsi="Arial" w:cs="Arial"/>
          <w:sz w:val="20"/>
          <w:szCs w:val="20"/>
        </w:rPr>
      </w:pPr>
      <w:r w:rsidRPr="006869FB">
        <w:rPr>
          <w:rFonts w:ascii="Arial" w:hAnsi="Arial" w:cs="Arial"/>
          <w:sz w:val="20"/>
          <w:szCs w:val="20"/>
        </w:rPr>
        <w:t xml:space="preserve">1.  Identify the </w:t>
      </w:r>
      <w:r w:rsidR="006F2A0A">
        <w:rPr>
          <w:rFonts w:ascii="Arial" w:hAnsi="Arial" w:cs="Arial"/>
          <w:sz w:val="20"/>
          <w:szCs w:val="20"/>
        </w:rPr>
        <w:t>p</w:t>
      </w:r>
      <w:r w:rsidRPr="006869FB">
        <w:rPr>
          <w:rFonts w:ascii="Arial" w:hAnsi="Arial" w:cs="Arial"/>
          <w:sz w:val="20"/>
          <w:szCs w:val="20"/>
        </w:rPr>
        <w:t xml:space="preserve">rogrammatic need </w:t>
      </w:r>
    </w:p>
    <w:p w14:paraId="5124D5A5" w14:textId="731A1348" w:rsidR="00D3572C" w:rsidRPr="006869FB" w:rsidRDefault="00D3572C" w:rsidP="00A6629D">
      <w:pPr>
        <w:pStyle w:val="ListParagraph"/>
        <w:numPr>
          <w:ilvl w:val="0"/>
          <w:numId w:val="5"/>
        </w:numPr>
        <w:spacing w:before="120"/>
        <w:jc w:val="both"/>
        <w:rPr>
          <w:rFonts w:ascii="Arial" w:hAnsi="Arial" w:cs="Arial"/>
          <w:sz w:val="20"/>
          <w:szCs w:val="20"/>
        </w:rPr>
      </w:pPr>
      <w:r w:rsidRPr="006869FB">
        <w:rPr>
          <w:rFonts w:ascii="Arial" w:hAnsi="Arial" w:cs="Arial"/>
          <w:sz w:val="20"/>
          <w:szCs w:val="20"/>
        </w:rPr>
        <w:t>Us</w:t>
      </w:r>
      <w:r w:rsidR="00396A18" w:rsidRPr="006869FB">
        <w:rPr>
          <w:rFonts w:ascii="Arial" w:hAnsi="Arial" w:cs="Arial"/>
          <w:sz w:val="20"/>
          <w:szCs w:val="20"/>
        </w:rPr>
        <w:t xml:space="preserve">e </w:t>
      </w:r>
      <w:r w:rsidRPr="006869FB">
        <w:rPr>
          <w:rFonts w:ascii="Arial" w:hAnsi="Arial" w:cs="Arial"/>
          <w:sz w:val="20"/>
          <w:szCs w:val="20"/>
        </w:rPr>
        <w:t xml:space="preserve">accurate national population and malaria </w:t>
      </w:r>
      <w:r w:rsidR="00B1084A" w:rsidRPr="006869FB">
        <w:rPr>
          <w:rFonts w:ascii="Arial" w:hAnsi="Arial" w:cs="Arial"/>
          <w:sz w:val="20"/>
          <w:szCs w:val="20"/>
        </w:rPr>
        <w:t xml:space="preserve">epidemiological </w:t>
      </w:r>
      <w:r w:rsidRPr="006869FB">
        <w:rPr>
          <w:rFonts w:ascii="Arial" w:hAnsi="Arial" w:cs="Arial"/>
          <w:sz w:val="20"/>
          <w:szCs w:val="20"/>
        </w:rPr>
        <w:t xml:space="preserve">data, update the malaria stratification and population at risk (by age group, </w:t>
      </w:r>
      <w:proofErr w:type="gramStart"/>
      <w:r w:rsidRPr="006869FB">
        <w:rPr>
          <w:rFonts w:ascii="Arial" w:hAnsi="Arial" w:cs="Arial"/>
          <w:sz w:val="20"/>
          <w:szCs w:val="20"/>
        </w:rPr>
        <w:t>sex</w:t>
      </w:r>
      <w:proofErr w:type="gramEnd"/>
      <w:r w:rsidRPr="006869FB">
        <w:rPr>
          <w:rFonts w:ascii="Arial" w:hAnsi="Arial" w:cs="Arial"/>
          <w:sz w:val="20"/>
          <w:szCs w:val="20"/>
        </w:rPr>
        <w:t xml:space="preserve"> and geographic distribution)</w:t>
      </w:r>
      <w:r w:rsidR="007C67FD">
        <w:rPr>
          <w:rFonts w:ascii="Arial" w:hAnsi="Arial" w:cs="Arial"/>
          <w:sz w:val="20"/>
          <w:szCs w:val="20"/>
        </w:rPr>
        <w:t>. Where the population census is more than five years old, considering adding a 10% buffer</w:t>
      </w:r>
      <w:r w:rsidRPr="006869FB">
        <w:rPr>
          <w:rFonts w:ascii="Arial" w:hAnsi="Arial" w:cs="Arial"/>
          <w:sz w:val="20"/>
          <w:szCs w:val="20"/>
        </w:rPr>
        <w:t xml:space="preserve"> </w:t>
      </w:r>
    </w:p>
    <w:p w14:paraId="0D2506B1" w14:textId="56EE623A" w:rsidR="00D3572C" w:rsidRPr="006869FB" w:rsidRDefault="00D3572C" w:rsidP="00A6629D">
      <w:pPr>
        <w:pStyle w:val="ListParagraph"/>
        <w:numPr>
          <w:ilvl w:val="0"/>
          <w:numId w:val="5"/>
        </w:numPr>
        <w:spacing w:before="120"/>
        <w:jc w:val="both"/>
        <w:rPr>
          <w:rFonts w:ascii="Arial" w:hAnsi="Arial" w:cs="Arial"/>
          <w:sz w:val="20"/>
          <w:szCs w:val="20"/>
        </w:rPr>
      </w:pPr>
      <w:r w:rsidRPr="006869FB">
        <w:rPr>
          <w:rFonts w:ascii="Arial" w:hAnsi="Arial" w:cs="Arial"/>
          <w:sz w:val="20"/>
          <w:szCs w:val="20"/>
        </w:rPr>
        <w:t>Us</w:t>
      </w:r>
      <w:r w:rsidR="00396A18" w:rsidRPr="006869FB">
        <w:rPr>
          <w:rFonts w:ascii="Arial" w:hAnsi="Arial" w:cs="Arial"/>
          <w:sz w:val="20"/>
          <w:szCs w:val="20"/>
        </w:rPr>
        <w:t xml:space="preserve">e </w:t>
      </w:r>
      <w:r w:rsidRPr="006869FB">
        <w:rPr>
          <w:rFonts w:ascii="Arial" w:hAnsi="Arial" w:cs="Arial"/>
          <w:sz w:val="20"/>
          <w:szCs w:val="20"/>
        </w:rPr>
        <w:t xml:space="preserve">targets and interventions outlined in the national strategic plan, </w:t>
      </w:r>
      <w:r w:rsidR="00DB46FE" w:rsidRPr="006869FB">
        <w:rPr>
          <w:rFonts w:ascii="Arial" w:hAnsi="Arial" w:cs="Arial"/>
          <w:sz w:val="20"/>
          <w:szCs w:val="20"/>
        </w:rPr>
        <w:t>and based on the best available epidemiological information</w:t>
      </w:r>
      <w:r w:rsidR="008B55CC" w:rsidRPr="006869FB">
        <w:rPr>
          <w:rFonts w:ascii="Arial" w:hAnsi="Arial" w:cs="Arial"/>
          <w:sz w:val="20"/>
          <w:szCs w:val="20"/>
        </w:rPr>
        <w:t>, including subnational stratification</w:t>
      </w:r>
      <w:r w:rsidR="00B24EE8" w:rsidRPr="006869FB">
        <w:rPr>
          <w:rFonts w:ascii="Arial" w:hAnsi="Arial" w:cs="Arial"/>
          <w:sz w:val="20"/>
          <w:szCs w:val="20"/>
        </w:rPr>
        <w:t xml:space="preserve">, </w:t>
      </w:r>
      <w:r w:rsidRPr="006869FB">
        <w:rPr>
          <w:rFonts w:ascii="Arial" w:hAnsi="Arial" w:cs="Arial"/>
          <w:sz w:val="20"/>
          <w:szCs w:val="20"/>
        </w:rPr>
        <w:t xml:space="preserve">identify </w:t>
      </w:r>
      <w:r w:rsidR="00B24EE8" w:rsidRPr="006869FB">
        <w:rPr>
          <w:rFonts w:ascii="Arial" w:hAnsi="Arial" w:cs="Arial"/>
          <w:sz w:val="20"/>
          <w:szCs w:val="20"/>
        </w:rPr>
        <w:t xml:space="preserve">geographical </w:t>
      </w:r>
      <w:r w:rsidRPr="006869FB">
        <w:rPr>
          <w:rFonts w:ascii="Arial" w:hAnsi="Arial" w:cs="Arial"/>
          <w:sz w:val="20"/>
          <w:szCs w:val="20"/>
        </w:rPr>
        <w:t xml:space="preserve">areas and </w:t>
      </w:r>
      <w:r w:rsidR="00B24EE8" w:rsidRPr="006869FB">
        <w:rPr>
          <w:rFonts w:ascii="Arial" w:hAnsi="Arial" w:cs="Arial"/>
          <w:sz w:val="20"/>
          <w:szCs w:val="20"/>
        </w:rPr>
        <w:t xml:space="preserve">vulnerable </w:t>
      </w:r>
      <w:r w:rsidRPr="006869FB">
        <w:rPr>
          <w:rFonts w:ascii="Arial" w:hAnsi="Arial" w:cs="Arial"/>
          <w:sz w:val="20"/>
          <w:szCs w:val="20"/>
        </w:rPr>
        <w:t>populations that will benefit from each intervention and delivery approach</w:t>
      </w:r>
    </w:p>
    <w:p w14:paraId="607E6F6B" w14:textId="6890C26A" w:rsidR="00D3572C" w:rsidRPr="006869FB" w:rsidRDefault="00D3572C" w:rsidP="00A6629D">
      <w:pPr>
        <w:pStyle w:val="ListParagraph"/>
        <w:numPr>
          <w:ilvl w:val="0"/>
          <w:numId w:val="5"/>
        </w:numPr>
        <w:spacing w:before="120"/>
        <w:jc w:val="both"/>
        <w:rPr>
          <w:rFonts w:ascii="Arial" w:hAnsi="Arial" w:cs="Arial"/>
          <w:sz w:val="20"/>
          <w:szCs w:val="20"/>
        </w:rPr>
      </w:pPr>
      <w:r w:rsidRPr="006869FB">
        <w:rPr>
          <w:rFonts w:ascii="Arial" w:hAnsi="Arial" w:cs="Arial"/>
          <w:sz w:val="20"/>
          <w:szCs w:val="20"/>
        </w:rPr>
        <w:t>Develop SMART</w:t>
      </w:r>
      <w:r w:rsidR="005B7C0A" w:rsidRPr="006869FB">
        <w:rPr>
          <w:rStyle w:val="FootnoteReference"/>
          <w:rFonts w:ascii="Arial" w:hAnsi="Arial" w:cs="Arial"/>
          <w:sz w:val="20"/>
          <w:szCs w:val="20"/>
        </w:rPr>
        <w:footnoteReference w:id="1"/>
      </w:r>
      <w:r w:rsidRPr="006869FB">
        <w:rPr>
          <w:rFonts w:ascii="Arial" w:hAnsi="Arial" w:cs="Arial"/>
          <w:sz w:val="20"/>
          <w:szCs w:val="20"/>
        </w:rPr>
        <w:t xml:space="preserve"> objectives and indicators (</w:t>
      </w:r>
      <w:r w:rsidR="006F2A0A">
        <w:rPr>
          <w:rFonts w:ascii="Arial" w:hAnsi="Arial" w:cs="Arial"/>
          <w:sz w:val="20"/>
          <w:szCs w:val="20"/>
        </w:rPr>
        <w:t>t</w:t>
      </w:r>
      <w:r w:rsidRPr="006869FB">
        <w:rPr>
          <w:rFonts w:ascii="Arial" w:hAnsi="Arial" w:cs="Arial"/>
          <w:sz w:val="20"/>
          <w:szCs w:val="20"/>
        </w:rPr>
        <w:t xml:space="preserve">he performance framework from the national strategic plan should be the main reference) </w:t>
      </w:r>
    </w:p>
    <w:p w14:paraId="6D8541C5" w14:textId="77777777" w:rsidR="00D3572C" w:rsidRPr="006869FB" w:rsidRDefault="00D3572C" w:rsidP="00A6629D">
      <w:pPr>
        <w:pStyle w:val="ListParagraph"/>
        <w:numPr>
          <w:ilvl w:val="0"/>
          <w:numId w:val="2"/>
        </w:numPr>
        <w:spacing w:before="120"/>
        <w:jc w:val="both"/>
        <w:rPr>
          <w:rFonts w:ascii="Arial" w:hAnsi="Arial" w:cs="Arial"/>
          <w:sz w:val="20"/>
          <w:szCs w:val="20"/>
        </w:rPr>
      </w:pPr>
      <w:r w:rsidRPr="006869FB">
        <w:rPr>
          <w:rFonts w:ascii="Arial" w:hAnsi="Arial" w:cs="Arial"/>
          <w:sz w:val="20"/>
          <w:szCs w:val="20"/>
        </w:rPr>
        <w:t>Develop a multiyear implementation plan with quantified annual targets</w:t>
      </w:r>
    </w:p>
    <w:p w14:paraId="2725AF3F" w14:textId="62D30876" w:rsidR="00844AE3" w:rsidRPr="006869FB" w:rsidRDefault="00CF1E68" w:rsidP="00A6629D">
      <w:pPr>
        <w:pStyle w:val="ListParagraph"/>
        <w:numPr>
          <w:ilvl w:val="0"/>
          <w:numId w:val="2"/>
        </w:numPr>
        <w:spacing w:before="120"/>
        <w:jc w:val="both"/>
        <w:rPr>
          <w:rFonts w:ascii="Arial" w:hAnsi="Arial" w:cs="Arial"/>
          <w:sz w:val="20"/>
          <w:szCs w:val="20"/>
        </w:rPr>
      </w:pPr>
      <w:r w:rsidRPr="006869FB">
        <w:rPr>
          <w:rFonts w:ascii="Arial" w:hAnsi="Arial" w:cs="Arial"/>
          <w:sz w:val="20"/>
          <w:szCs w:val="20"/>
        </w:rPr>
        <w:t>Describe the</w:t>
      </w:r>
      <w:r w:rsidR="00FB3C97" w:rsidRPr="006869FB">
        <w:rPr>
          <w:rFonts w:ascii="Arial" w:hAnsi="Arial" w:cs="Arial"/>
          <w:sz w:val="20"/>
          <w:szCs w:val="20"/>
        </w:rPr>
        <w:t xml:space="preserve"> service delivery approaches or strategies to deliver the key interventions </w:t>
      </w:r>
    </w:p>
    <w:p w14:paraId="6BC0C8AB" w14:textId="3B5859DA" w:rsidR="00B267E0" w:rsidRPr="006869FB" w:rsidRDefault="00EE1D72" w:rsidP="00A6629D">
      <w:pPr>
        <w:pStyle w:val="ListParagraph"/>
        <w:numPr>
          <w:ilvl w:val="0"/>
          <w:numId w:val="6"/>
        </w:numPr>
        <w:spacing w:before="120"/>
        <w:jc w:val="both"/>
        <w:rPr>
          <w:rFonts w:ascii="Arial" w:hAnsi="Arial" w:cs="Arial"/>
          <w:sz w:val="20"/>
          <w:szCs w:val="20"/>
        </w:rPr>
      </w:pPr>
      <w:r w:rsidRPr="006869FB">
        <w:rPr>
          <w:rFonts w:ascii="Arial" w:hAnsi="Arial" w:cs="Arial"/>
          <w:sz w:val="20"/>
          <w:szCs w:val="20"/>
        </w:rPr>
        <w:t>Q</w:t>
      </w:r>
      <w:r w:rsidR="00CF1E68" w:rsidRPr="006869FB">
        <w:rPr>
          <w:rFonts w:ascii="Arial" w:hAnsi="Arial" w:cs="Arial"/>
          <w:sz w:val="20"/>
          <w:szCs w:val="20"/>
        </w:rPr>
        <w:t>uantify</w:t>
      </w:r>
      <w:r w:rsidRPr="006869FB">
        <w:rPr>
          <w:rFonts w:ascii="Arial" w:hAnsi="Arial" w:cs="Arial"/>
          <w:sz w:val="20"/>
          <w:szCs w:val="20"/>
        </w:rPr>
        <w:t xml:space="preserve"> </w:t>
      </w:r>
      <w:r w:rsidR="00095E15" w:rsidRPr="006869FB">
        <w:rPr>
          <w:rFonts w:ascii="Arial" w:hAnsi="Arial" w:cs="Arial"/>
          <w:sz w:val="20"/>
          <w:szCs w:val="20"/>
        </w:rPr>
        <w:t xml:space="preserve">the </w:t>
      </w:r>
      <w:r w:rsidRPr="006869FB">
        <w:rPr>
          <w:rFonts w:ascii="Arial" w:hAnsi="Arial" w:cs="Arial"/>
          <w:sz w:val="20"/>
          <w:szCs w:val="20"/>
        </w:rPr>
        <w:t>commodities needed for each intervention</w:t>
      </w:r>
      <w:r w:rsidR="00B267E0" w:rsidRPr="006869FB">
        <w:rPr>
          <w:rFonts w:ascii="Arial" w:hAnsi="Arial" w:cs="Arial"/>
          <w:sz w:val="20"/>
          <w:szCs w:val="20"/>
        </w:rPr>
        <w:t xml:space="preserve">. Note that tools developed by RBM partners as well as guidance from the </w:t>
      </w:r>
      <w:r w:rsidR="005274A9" w:rsidRPr="006869FB">
        <w:rPr>
          <w:rFonts w:ascii="Arial" w:hAnsi="Arial" w:cs="Arial"/>
          <w:sz w:val="20"/>
          <w:szCs w:val="20"/>
        </w:rPr>
        <w:t>CRSPC</w:t>
      </w:r>
      <w:r w:rsidR="00B267E0" w:rsidRPr="006869FB">
        <w:rPr>
          <w:rFonts w:ascii="Arial" w:hAnsi="Arial" w:cs="Arial"/>
          <w:sz w:val="20"/>
          <w:szCs w:val="20"/>
        </w:rPr>
        <w:t xml:space="preserve"> </w:t>
      </w:r>
      <w:r w:rsidR="00494789" w:rsidRPr="006869FB">
        <w:rPr>
          <w:rFonts w:ascii="Arial" w:hAnsi="Arial" w:cs="Arial"/>
          <w:sz w:val="20"/>
          <w:szCs w:val="20"/>
        </w:rPr>
        <w:t xml:space="preserve">partners </w:t>
      </w:r>
      <w:r w:rsidR="00B267E0" w:rsidRPr="006869FB">
        <w:rPr>
          <w:rFonts w:ascii="Arial" w:hAnsi="Arial" w:cs="Arial"/>
          <w:sz w:val="20"/>
          <w:szCs w:val="20"/>
        </w:rPr>
        <w:t xml:space="preserve">and WHO can assist in the quantification exercise </w:t>
      </w:r>
    </w:p>
    <w:p w14:paraId="5DDF3E95" w14:textId="77777777" w:rsidR="00B267E0" w:rsidRPr="006869FB" w:rsidRDefault="00B267E0" w:rsidP="00A6629D">
      <w:pPr>
        <w:pStyle w:val="ListParagraph"/>
        <w:numPr>
          <w:ilvl w:val="0"/>
          <w:numId w:val="6"/>
        </w:numPr>
        <w:spacing w:before="120"/>
        <w:jc w:val="both"/>
        <w:rPr>
          <w:rFonts w:ascii="Arial" w:hAnsi="Arial" w:cs="Arial"/>
          <w:sz w:val="20"/>
          <w:szCs w:val="20"/>
        </w:rPr>
      </w:pPr>
      <w:r w:rsidRPr="006869FB">
        <w:rPr>
          <w:rFonts w:ascii="Arial" w:hAnsi="Arial" w:cs="Arial"/>
          <w:sz w:val="20"/>
          <w:szCs w:val="20"/>
        </w:rPr>
        <w:t xml:space="preserve">Identify the detailed activities to be undertaken and timeframe (technical and supportive activities) </w:t>
      </w:r>
    </w:p>
    <w:p w14:paraId="77B7B720" w14:textId="54F88EAD" w:rsidR="00B267E0" w:rsidRPr="006869FB" w:rsidRDefault="00D3572C" w:rsidP="0020756E">
      <w:pPr>
        <w:spacing w:before="120"/>
        <w:jc w:val="both"/>
        <w:rPr>
          <w:rFonts w:ascii="Arial" w:hAnsi="Arial" w:cs="Arial"/>
          <w:sz w:val="20"/>
          <w:szCs w:val="20"/>
        </w:rPr>
      </w:pPr>
      <w:r w:rsidRPr="006869FB">
        <w:rPr>
          <w:rFonts w:ascii="Arial" w:hAnsi="Arial" w:cs="Arial"/>
          <w:sz w:val="20"/>
          <w:szCs w:val="20"/>
        </w:rPr>
        <w:t>2. Identify what is currently financed</w:t>
      </w:r>
      <w:r w:rsidR="00095E15" w:rsidRPr="006869FB">
        <w:rPr>
          <w:rFonts w:ascii="Arial" w:hAnsi="Arial" w:cs="Arial"/>
          <w:sz w:val="20"/>
          <w:szCs w:val="20"/>
        </w:rPr>
        <w:t xml:space="preserve">. </w:t>
      </w:r>
      <w:r w:rsidR="00CF1E68" w:rsidRPr="006869FB">
        <w:rPr>
          <w:rFonts w:ascii="Arial" w:hAnsi="Arial" w:cs="Arial"/>
          <w:sz w:val="20"/>
          <w:szCs w:val="20"/>
        </w:rPr>
        <w:t>Assess the c</w:t>
      </w:r>
      <w:r w:rsidR="00EE1D72" w:rsidRPr="006869FB">
        <w:rPr>
          <w:rFonts w:ascii="Arial" w:hAnsi="Arial" w:cs="Arial"/>
          <w:sz w:val="20"/>
          <w:szCs w:val="20"/>
        </w:rPr>
        <w:t>ommodities</w:t>
      </w:r>
      <w:r w:rsidR="00E22CB5" w:rsidRPr="006869FB">
        <w:rPr>
          <w:rFonts w:ascii="Arial" w:hAnsi="Arial" w:cs="Arial"/>
          <w:sz w:val="20"/>
          <w:szCs w:val="20"/>
        </w:rPr>
        <w:t xml:space="preserve">, </w:t>
      </w:r>
      <w:r w:rsidR="00B267E0" w:rsidRPr="006869FB">
        <w:rPr>
          <w:rFonts w:ascii="Arial" w:hAnsi="Arial" w:cs="Arial"/>
          <w:sz w:val="20"/>
          <w:szCs w:val="20"/>
        </w:rPr>
        <w:t xml:space="preserve">activities </w:t>
      </w:r>
      <w:r w:rsidR="00E22CB5" w:rsidRPr="006869FB">
        <w:rPr>
          <w:rFonts w:ascii="Arial" w:hAnsi="Arial" w:cs="Arial"/>
          <w:sz w:val="20"/>
          <w:szCs w:val="20"/>
        </w:rPr>
        <w:t xml:space="preserve">and interventions </w:t>
      </w:r>
      <w:r w:rsidR="00EE1D72" w:rsidRPr="006869FB">
        <w:rPr>
          <w:rFonts w:ascii="Arial" w:hAnsi="Arial" w:cs="Arial"/>
          <w:sz w:val="20"/>
          <w:szCs w:val="20"/>
        </w:rPr>
        <w:t xml:space="preserve">already covered </w:t>
      </w:r>
      <w:r w:rsidR="00E22CB5" w:rsidRPr="006869FB">
        <w:rPr>
          <w:rFonts w:ascii="Arial" w:hAnsi="Arial" w:cs="Arial"/>
          <w:sz w:val="20"/>
          <w:szCs w:val="20"/>
        </w:rPr>
        <w:t>through e</w:t>
      </w:r>
      <w:r w:rsidR="00EE1D72" w:rsidRPr="006869FB">
        <w:rPr>
          <w:rFonts w:ascii="Arial" w:hAnsi="Arial" w:cs="Arial"/>
          <w:sz w:val="20"/>
          <w:szCs w:val="20"/>
        </w:rPr>
        <w:t>xisting systems and resources</w:t>
      </w:r>
      <w:r w:rsidR="00B267E0" w:rsidRPr="006869FB">
        <w:rPr>
          <w:rFonts w:ascii="Arial" w:hAnsi="Arial" w:cs="Arial"/>
          <w:sz w:val="20"/>
          <w:szCs w:val="20"/>
        </w:rPr>
        <w:t xml:space="preserve"> including the identification of all partner</w:t>
      </w:r>
      <w:r w:rsidR="006A03A3">
        <w:rPr>
          <w:rFonts w:ascii="Arial" w:hAnsi="Arial" w:cs="Arial"/>
          <w:sz w:val="20"/>
          <w:szCs w:val="20"/>
        </w:rPr>
        <w:t xml:space="preserve"> contribution</w:t>
      </w:r>
      <w:r w:rsidR="00B267E0" w:rsidRPr="006869FB">
        <w:rPr>
          <w:rFonts w:ascii="Arial" w:hAnsi="Arial" w:cs="Arial"/>
          <w:sz w:val="20"/>
          <w:szCs w:val="20"/>
        </w:rPr>
        <w:t xml:space="preserve">s </w:t>
      </w:r>
    </w:p>
    <w:p w14:paraId="3B36B1C5" w14:textId="5E866DB2" w:rsidR="00FE74FD" w:rsidRPr="006869FB" w:rsidRDefault="00B267E0" w:rsidP="0020756E">
      <w:pPr>
        <w:spacing w:before="120"/>
        <w:jc w:val="both"/>
        <w:rPr>
          <w:rFonts w:ascii="Arial" w:hAnsi="Arial" w:cs="Arial"/>
          <w:sz w:val="20"/>
          <w:szCs w:val="20"/>
        </w:rPr>
      </w:pPr>
      <w:r w:rsidRPr="006869FB">
        <w:rPr>
          <w:rFonts w:ascii="Arial" w:hAnsi="Arial" w:cs="Arial"/>
          <w:sz w:val="20"/>
          <w:szCs w:val="20"/>
        </w:rPr>
        <w:t>3</w:t>
      </w:r>
      <w:r w:rsidR="00DB46FE" w:rsidRPr="006869FB">
        <w:rPr>
          <w:rFonts w:ascii="Arial" w:hAnsi="Arial" w:cs="Arial"/>
          <w:sz w:val="20"/>
          <w:szCs w:val="20"/>
        </w:rPr>
        <w:t xml:space="preserve">. </w:t>
      </w:r>
      <w:r w:rsidRPr="006869FB">
        <w:rPr>
          <w:rFonts w:ascii="Arial" w:hAnsi="Arial" w:cs="Arial"/>
          <w:sz w:val="20"/>
          <w:szCs w:val="20"/>
        </w:rPr>
        <w:t>Identify the gap</w:t>
      </w:r>
      <w:r w:rsidR="006F55FF" w:rsidRPr="006869FB">
        <w:rPr>
          <w:rFonts w:ascii="Arial" w:hAnsi="Arial" w:cs="Arial"/>
          <w:sz w:val="20"/>
          <w:szCs w:val="20"/>
        </w:rPr>
        <w:t xml:space="preserve"> - </w:t>
      </w:r>
      <w:r w:rsidR="00FE74FD" w:rsidRPr="006869FB">
        <w:rPr>
          <w:rFonts w:ascii="Arial" w:hAnsi="Arial" w:cs="Arial"/>
          <w:sz w:val="20"/>
          <w:szCs w:val="20"/>
        </w:rPr>
        <w:t xml:space="preserve">Identify the commodities </w:t>
      </w:r>
      <w:r w:rsidRPr="006869FB">
        <w:rPr>
          <w:rFonts w:ascii="Arial" w:hAnsi="Arial" w:cs="Arial"/>
          <w:sz w:val="20"/>
          <w:szCs w:val="20"/>
        </w:rPr>
        <w:t>and activities</w:t>
      </w:r>
      <w:r w:rsidR="006A03A3">
        <w:rPr>
          <w:rFonts w:ascii="Arial" w:hAnsi="Arial" w:cs="Arial"/>
          <w:sz w:val="20"/>
          <w:szCs w:val="20"/>
        </w:rPr>
        <w:t xml:space="preserve"> (technical and supportive)</w:t>
      </w:r>
      <w:r w:rsidRPr="006869FB">
        <w:rPr>
          <w:rFonts w:ascii="Arial" w:hAnsi="Arial" w:cs="Arial"/>
          <w:sz w:val="20"/>
          <w:szCs w:val="20"/>
        </w:rPr>
        <w:t xml:space="preserve"> that </w:t>
      </w:r>
      <w:r w:rsidR="00FE74FD" w:rsidRPr="006869FB">
        <w:rPr>
          <w:rFonts w:ascii="Arial" w:hAnsi="Arial" w:cs="Arial"/>
          <w:sz w:val="20"/>
          <w:szCs w:val="20"/>
        </w:rPr>
        <w:t>still need to be covered</w:t>
      </w:r>
    </w:p>
    <w:p w14:paraId="16B26A0C" w14:textId="17101E0D" w:rsidR="00F11848" w:rsidRPr="006869FB" w:rsidRDefault="00F11848" w:rsidP="0020756E">
      <w:pPr>
        <w:spacing w:before="120"/>
        <w:jc w:val="both"/>
        <w:rPr>
          <w:rFonts w:ascii="Arial" w:hAnsi="Arial" w:cs="Arial"/>
          <w:sz w:val="20"/>
          <w:szCs w:val="20"/>
        </w:rPr>
      </w:pPr>
      <w:r w:rsidRPr="006869FB">
        <w:rPr>
          <w:rFonts w:ascii="Arial" w:hAnsi="Arial" w:cs="Arial"/>
          <w:sz w:val="20"/>
          <w:szCs w:val="20"/>
        </w:rPr>
        <w:t xml:space="preserve">4. Prioritise </w:t>
      </w:r>
      <w:r w:rsidR="00EC4A6F" w:rsidRPr="006869FB">
        <w:rPr>
          <w:rFonts w:ascii="Arial" w:hAnsi="Arial" w:cs="Arial"/>
          <w:sz w:val="20"/>
          <w:szCs w:val="20"/>
        </w:rPr>
        <w:t xml:space="preserve">new </w:t>
      </w:r>
      <w:r w:rsidRPr="006869FB">
        <w:rPr>
          <w:rFonts w:ascii="Arial" w:hAnsi="Arial" w:cs="Arial"/>
          <w:sz w:val="20"/>
          <w:szCs w:val="20"/>
        </w:rPr>
        <w:t xml:space="preserve">resources </w:t>
      </w:r>
      <w:r w:rsidR="00AE7FDA" w:rsidRPr="006869FB">
        <w:rPr>
          <w:rFonts w:ascii="Arial" w:hAnsi="Arial" w:cs="Arial"/>
          <w:sz w:val="20"/>
          <w:szCs w:val="20"/>
        </w:rPr>
        <w:t>towards the most impactful cost-effe</w:t>
      </w:r>
      <w:r w:rsidR="00EC4A6F" w:rsidRPr="006869FB">
        <w:rPr>
          <w:rFonts w:ascii="Arial" w:hAnsi="Arial" w:cs="Arial"/>
          <w:sz w:val="20"/>
          <w:szCs w:val="20"/>
        </w:rPr>
        <w:t>c</w:t>
      </w:r>
      <w:r w:rsidR="00AE7FDA" w:rsidRPr="006869FB">
        <w:rPr>
          <w:rFonts w:ascii="Arial" w:hAnsi="Arial" w:cs="Arial"/>
          <w:sz w:val="20"/>
          <w:szCs w:val="20"/>
        </w:rPr>
        <w:t xml:space="preserve">tive interventions. </w:t>
      </w:r>
      <w:r w:rsidR="00E77DF6" w:rsidRPr="006869FB">
        <w:rPr>
          <w:rFonts w:ascii="Arial" w:hAnsi="Arial" w:cs="Arial"/>
          <w:sz w:val="20"/>
          <w:szCs w:val="20"/>
        </w:rPr>
        <w:t xml:space="preserve">This prioritization exercise should </w:t>
      </w:r>
      <w:proofErr w:type="gramStart"/>
      <w:r w:rsidR="00E77DF6" w:rsidRPr="006869FB">
        <w:rPr>
          <w:rFonts w:ascii="Arial" w:hAnsi="Arial" w:cs="Arial"/>
          <w:sz w:val="20"/>
          <w:szCs w:val="20"/>
        </w:rPr>
        <w:t>take into account</w:t>
      </w:r>
      <w:proofErr w:type="gramEnd"/>
      <w:r w:rsidR="00E77DF6" w:rsidRPr="006869FB">
        <w:rPr>
          <w:rFonts w:ascii="Arial" w:hAnsi="Arial" w:cs="Arial"/>
          <w:sz w:val="20"/>
          <w:szCs w:val="20"/>
        </w:rPr>
        <w:t xml:space="preserve"> the latest recommendations from WHO, </w:t>
      </w:r>
      <w:r w:rsidR="00EC4A6F" w:rsidRPr="006869FB">
        <w:rPr>
          <w:rFonts w:ascii="Arial" w:hAnsi="Arial" w:cs="Arial"/>
          <w:sz w:val="20"/>
          <w:szCs w:val="20"/>
        </w:rPr>
        <w:t xml:space="preserve">the national strategic plan, </w:t>
      </w:r>
      <w:r w:rsidR="00E77DF6" w:rsidRPr="006869FB">
        <w:rPr>
          <w:rFonts w:ascii="Arial" w:hAnsi="Arial" w:cs="Arial"/>
          <w:sz w:val="20"/>
          <w:szCs w:val="20"/>
        </w:rPr>
        <w:t xml:space="preserve">the results of country sub-national </w:t>
      </w:r>
      <w:r w:rsidR="00EC4A6F" w:rsidRPr="006869FB">
        <w:rPr>
          <w:rFonts w:ascii="Arial" w:hAnsi="Arial" w:cs="Arial"/>
          <w:sz w:val="20"/>
          <w:szCs w:val="20"/>
        </w:rPr>
        <w:t xml:space="preserve">stratification and </w:t>
      </w:r>
      <w:r w:rsidR="00E77DF6" w:rsidRPr="006869FB">
        <w:rPr>
          <w:rFonts w:ascii="Arial" w:hAnsi="Arial" w:cs="Arial"/>
          <w:sz w:val="20"/>
          <w:szCs w:val="20"/>
        </w:rPr>
        <w:t xml:space="preserve">tailoring exercises, and country implementation experience. </w:t>
      </w:r>
    </w:p>
    <w:p w14:paraId="3C4E9B3F" w14:textId="69A3CFB5" w:rsidR="00AB7A26" w:rsidRPr="006869FB" w:rsidRDefault="00AB7A26" w:rsidP="0020756E">
      <w:pPr>
        <w:spacing w:before="120"/>
        <w:rPr>
          <w:rFonts w:ascii="Arial" w:hAnsi="Arial" w:cs="Arial"/>
          <w:b/>
          <w:sz w:val="20"/>
          <w:szCs w:val="20"/>
        </w:rPr>
      </w:pPr>
      <w:r w:rsidRPr="006869FB">
        <w:rPr>
          <w:rFonts w:ascii="Arial" w:hAnsi="Arial" w:cs="Arial"/>
          <w:b/>
          <w:sz w:val="20"/>
          <w:szCs w:val="20"/>
        </w:rPr>
        <w:t xml:space="preserve">Table </w:t>
      </w:r>
      <w:r w:rsidR="00817F5E" w:rsidRPr="006869FB">
        <w:rPr>
          <w:rFonts w:ascii="Arial" w:hAnsi="Arial" w:cs="Arial"/>
          <w:b/>
          <w:sz w:val="20"/>
          <w:szCs w:val="20"/>
        </w:rPr>
        <w:t>1</w:t>
      </w:r>
      <w:r w:rsidRPr="006869FB">
        <w:rPr>
          <w:rFonts w:ascii="Arial" w:hAnsi="Arial" w:cs="Arial"/>
          <w:b/>
          <w:sz w:val="20"/>
          <w:szCs w:val="20"/>
        </w:rPr>
        <w:t>:</w:t>
      </w:r>
      <w:r w:rsidR="00817F5E" w:rsidRPr="006869FB">
        <w:rPr>
          <w:rFonts w:ascii="Arial" w:hAnsi="Arial" w:cs="Arial"/>
          <w:b/>
          <w:sz w:val="20"/>
          <w:szCs w:val="20"/>
        </w:rPr>
        <w:t xml:space="preserve"> Generic</w:t>
      </w:r>
      <w:r w:rsidRPr="006869FB">
        <w:rPr>
          <w:rFonts w:ascii="Arial" w:hAnsi="Arial" w:cs="Arial"/>
          <w:b/>
          <w:sz w:val="20"/>
          <w:szCs w:val="20"/>
        </w:rPr>
        <w:t xml:space="preserve"> programmatic gap analysis</w:t>
      </w:r>
    </w:p>
    <w:tbl>
      <w:tblPr>
        <w:tblW w:w="9360" w:type="dxa"/>
        <w:tblInd w:w="1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4230"/>
        <w:gridCol w:w="720"/>
        <w:gridCol w:w="720"/>
        <w:gridCol w:w="720"/>
        <w:gridCol w:w="720"/>
        <w:gridCol w:w="720"/>
        <w:gridCol w:w="720"/>
        <w:gridCol w:w="810"/>
      </w:tblGrid>
      <w:tr w:rsidR="00AB7A26" w:rsidRPr="006869FB" w14:paraId="4C0417B6" w14:textId="77777777" w:rsidTr="001F1AAF">
        <w:trPr>
          <w:trHeight w:val="233"/>
          <w:tblHeader/>
        </w:trPr>
        <w:tc>
          <w:tcPr>
            <w:tcW w:w="4230" w:type="dxa"/>
            <w:shd w:val="clear" w:color="auto" w:fill="9BBB59"/>
          </w:tcPr>
          <w:p w14:paraId="2EA6A112" w14:textId="77777777" w:rsidR="00AB7A26" w:rsidRPr="006869FB" w:rsidRDefault="00AB7A26" w:rsidP="0020756E">
            <w:pPr>
              <w:spacing w:before="120"/>
              <w:rPr>
                <w:rFonts w:ascii="Arial" w:hAnsi="Arial" w:cs="Arial"/>
                <w:b/>
                <w:sz w:val="20"/>
                <w:szCs w:val="20"/>
              </w:rPr>
            </w:pPr>
            <w:r w:rsidRPr="006869FB">
              <w:rPr>
                <w:rFonts w:ascii="Arial" w:hAnsi="Arial" w:cs="Arial"/>
                <w:b/>
                <w:sz w:val="20"/>
                <w:szCs w:val="20"/>
              </w:rPr>
              <w:t xml:space="preserve">Priority intervention </w:t>
            </w:r>
          </w:p>
        </w:tc>
        <w:tc>
          <w:tcPr>
            <w:tcW w:w="1440" w:type="dxa"/>
            <w:gridSpan w:val="2"/>
            <w:shd w:val="clear" w:color="auto" w:fill="9BBB59"/>
          </w:tcPr>
          <w:p w14:paraId="497DF991" w14:textId="77777777" w:rsidR="00AB7A26" w:rsidRPr="006869FB" w:rsidRDefault="00AB7A26" w:rsidP="0020756E">
            <w:pPr>
              <w:spacing w:before="120"/>
              <w:jc w:val="center"/>
              <w:rPr>
                <w:rFonts w:ascii="Arial" w:hAnsi="Arial" w:cs="Arial"/>
                <w:b/>
                <w:sz w:val="20"/>
                <w:szCs w:val="20"/>
              </w:rPr>
            </w:pPr>
            <w:r w:rsidRPr="006869FB">
              <w:rPr>
                <w:rFonts w:ascii="Arial" w:hAnsi="Arial" w:cs="Arial"/>
                <w:b/>
                <w:sz w:val="20"/>
                <w:szCs w:val="20"/>
              </w:rPr>
              <w:t>Historical</w:t>
            </w:r>
          </w:p>
        </w:tc>
        <w:tc>
          <w:tcPr>
            <w:tcW w:w="2160" w:type="dxa"/>
            <w:gridSpan w:val="3"/>
            <w:shd w:val="clear" w:color="auto" w:fill="9BBB59"/>
          </w:tcPr>
          <w:p w14:paraId="00DC1B34" w14:textId="77777777" w:rsidR="00AB7A26" w:rsidRPr="006869FB" w:rsidRDefault="00AB7A26" w:rsidP="0020756E">
            <w:pPr>
              <w:spacing w:before="120"/>
              <w:jc w:val="center"/>
              <w:rPr>
                <w:rFonts w:ascii="Arial" w:hAnsi="Arial" w:cs="Arial"/>
                <w:b/>
                <w:sz w:val="20"/>
                <w:szCs w:val="20"/>
              </w:rPr>
            </w:pPr>
            <w:r w:rsidRPr="006869FB">
              <w:rPr>
                <w:rFonts w:ascii="Arial" w:hAnsi="Arial" w:cs="Arial"/>
                <w:b/>
                <w:sz w:val="20"/>
                <w:szCs w:val="20"/>
              </w:rPr>
              <w:t>Mid-term</w:t>
            </w:r>
          </w:p>
        </w:tc>
        <w:tc>
          <w:tcPr>
            <w:tcW w:w="1530" w:type="dxa"/>
            <w:gridSpan w:val="2"/>
            <w:shd w:val="clear" w:color="auto" w:fill="9BBB59"/>
          </w:tcPr>
          <w:p w14:paraId="170C401B" w14:textId="77777777" w:rsidR="00AB7A26" w:rsidRPr="006869FB" w:rsidRDefault="00AB7A26" w:rsidP="0020756E">
            <w:pPr>
              <w:spacing w:before="120"/>
              <w:ind w:right="-108"/>
              <w:jc w:val="center"/>
              <w:rPr>
                <w:rFonts w:ascii="Arial" w:hAnsi="Arial" w:cs="Arial"/>
                <w:b/>
                <w:sz w:val="20"/>
                <w:szCs w:val="20"/>
              </w:rPr>
            </w:pPr>
            <w:r w:rsidRPr="006869FB">
              <w:rPr>
                <w:rFonts w:ascii="Arial" w:hAnsi="Arial" w:cs="Arial"/>
                <w:b/>
                <w:sz w:val="20"/>
                <w:szCs w:val="20"/>
              </w:rPr>
              <w:t>End term</w:t>
            </w:r>
          </w:p>
        </w:tc>
      </w:tr>
      <w:tr w:rsidR="00AB7A26" w:rsidRPr="006869FB" w14:paraId="3B9AA9CF" w14:textId="77777777" w:rsidTr="001F1AAF">
        <w:trPr>
          <w:trHeight w:val="233"/>
          <w:tblHeader/>
        </w:trPr>
        <w:tc>
          <w:tcPr>
            <w:tcW w:w="4230" w:type="dxa"/>
            <w:shd w:val="clear" w:color="auto" w:fill="9BBB59"/>
          </w:tcPr>
          <w:p w14:paraId="540E8688" w14:textId="77777777" w:rsidR="00AB7A26" w:rsidRPr="006869FB" w:rsidRDefault="00AB7A26" w:rsidP="0020756E">
            <w:pPr>
              <w:spacing w:before="120"/>
              <w:rPr>
                <w:rFonts w:ascii="Arial" w:hAnsi="Arial" w:cs="Arial"/>
                <w:sz w:val="20"/>
                <w:szCs w:val="20"/>
              </w:rPr>
            </w:pPr>
          </w:p>
        </w:tc>
        <w:tc>
          <w:tcPr>
            <w:tcW w:w="720" w:type="dxa"/>
            <w:shd w:val="clear" w:color="auto" w:fill="9BBB59"/>
          </w:tcPr>
          <w:p w14:paraId="4C4BF6A8"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-2Y</w:t>
            </w:r>
          </w:p>
        </w:tc>
        <w:tc>
          <w:tcPr>
            <w:tcW w:w="720" w:type="dxa"/>
            <w:shd w:val="clear" w:color="auto" w:fill="9BBB59"/>
          </w:tcPr>
          <w:p w14:paraId="19427069"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-1Y</w:t>
            </w:r>
          </w:p>
        </w:tc>
        <w:tc>
          <w:tcPr>
            <w:tcW w:w="720" w:type="dxa"/>
            <w:shd w:val="clear" w:color="auto" w:fill="9BBB59"/>
          </w:tcPr>
          <w:p w14:paraId="24DF3CC5"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Y1</w:t>
            </w:r>
          </w:p>
        </w:tc>
        <w:tc>
          <w:tcPr>
            <w:tcW w:w="720" w:type="dxa"/>
            <w:shd w:val="clear" w:color="auto" w:fill="9BBB59"/>
          </w:tcPr>
          <w:p w14:paraId="232B1621"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Y2</w:t>
            </w:r>
          </w:p>
        </w:tc>
        <w:tc>
          <w:tcPr>
            <w:tcW w:w="720" w:type="dxa"/>
            <w:shd w:val="clear" w:color="auto" w:fill="9BBB59"/>
          </w:tcPr>
          <w:p w14:paraId="46FCAB2E"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Y3</w:t>
            </w:r>
          </w:p>
        </w:tc>
        <w:tc>
          <w:tcPr>
            <w:tcW w:w="720" w:type="dxa"/>
            <w:shd w:val="clear" w:color="auto" w:fill="9BBB59"/>
          </w:tcPr>
          <w:p w14:paraId="663FF094"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Y4</w:t>
            </w:r>
          </w:p>
        </w:tc>
        <w:tc>
          <w:tcPr>
            <w:tcW w:w="810" w:type="dxa"/>
            <w:shd w:val="clear" w:color="auto" w:fill="9BBB59"/>
          </w:tcPr>
          <w:p w14:paraId="3DFD5B0C" w14:textId="77777777" w:rsidR="00AB7A26" w:rsidRPr="006869FB" w:rsidRDefault="00AB7A26" w:rsidP="0020756E">
            <w:pPr>
              <w:spacing w:before="120"/>
              <w:jc w:val="center"/>
              <w:rPr>
                <w:rFonts w:ascii="Arial" w:hAnsi="Arial" w:cs="Arial"/>
                <w:b/>
                <w:i/>
                <w:sz w:val="20"/>
                <w:szCs w:val="20"/>
              </w:rPr>
            </w:pPr>
            <w:r w:rsidRPr="006869FB">
              <w:rPr>
                <w:rFonts w:ascii="Arial" w:hAnsi="Arial" w:cs="Arial"/>
                <w:b/>
                <w:i/>
                <w:sz w:val="20"/>
                <w:szCs w:val="20"/>
              </w:rPr>
              <w:t>Y5</w:t>
            </w:r>
          </w:p>
        </w:tc>
      </w:tr>
      <w:tr w:rsidR="00D54ECB" w:rsidRPr="006869FB" w14:paraId="642EAE50" w14:textId="77777777" w:rsidTr="001F1AAF">
        <w:trPr>
          <w:trHeight w:val="233"/>
          <w:tblHeader/>
        </w:trPr>
        <w:tc>
          <w:tcPr>
            <w:tcW w:w="4230" w:type="dxa"/>
            <w:shd w:val="clear" w:color="auto" w:fill="D6E3BC"/>
            <w:vAlign w:val="center"/>
          </w:tcPr>
          <w:p w14:paraId="37714ADC" w14:textId="22EC96C1" w:rsidR="00D54ECB" w:rsidRPr="006869FB" w:rsidRDefault="00D54ECB" w:rsidP="0020756E">
            <w:pPr>
              <w:spacing w:before="120"/>
              <w:rPr>
                <w:rFonts w:ascii="Arial" w:hAnsi="Arial" w:cs="Arial"/>
                <w:b/>
                <w:sz w:val="20"/>
                <w:szCs w:val="20"/>
              </w:rPr>
            </w:pPr>
            <w:r w:rsidRPr="006869FB">
              <w:rPr>
                <w:rFonts w:ascii="Arial" w:hAnsi="Arial" w:cs="Arial"/>
                <w:b/>
                <w:bCs/>
                <w:sz w:val="20"/>
                <w:szCs w:val="20"/>
              </w:rPr>
              <w:t xml:space="preserve">A:  Country annual </w:t>
            </w:r>
            <w:r w:rsidR="006F55FF" w:rsidRPr="006869FB">
              <w:rPr>
                <w:rFonts w:ascii="Arial" w:hAnsi="Arial" w:cs="Arial"/>
                <w:b/>
                <w:bCs/>
                <w:sz w:val="20"/>
                <w:szCs w:val="20"/>
              </w:rPr>
              <w:t>needs (</w:t>
            </w:r>
            <w:r w:rsidR="009F483B" w:rsidRPr="006869FB">
              <w:rPr>
                <w:rFonts w:ascii="Arial" w:hAnsi="Arial" w:cs="Arial"/>
                <w:b/>
                <w:bCs/>
                <w:sz w:val="20"/>
                <w:szCs w:val="20"/>
              </w:rPr>
              <w:t>E.g.</w:t>
            </w:r>
            <w:r w:rsidRPr="006869FB">
              <w:rPr>
                <w:rFonts w:ascii="Arial" w:hAnsi="Arial" w:cs="Arial"/>
                <w:b/>
                <w:bCs/>
                <w:sz w:val="20"/>
                <w:szCs w:val="20"/>
              </w:rPr>
              <w:t xml:space="preserve">, </w:t>
            </w:r>
            <w:r w:rsidR="001E2F1D" w:rsidRPr="006869FB">
              <w:rPr>
                <w:rFonts w:ascii="Arial" w:hAnsi="Arial" w:cs="Arial"/>
                <w:b/>
                <w:bCs/>
                <w:sz w:val="20"/>
                <w:szCs w:val="20"/>
              </w:rPr>
              <w:t>ITN</w:t>
            </w:r>
            <w:r w:rsidRPr="006869FB">
              <w:rPr>
                <w:rFonts w:ascii="Arial" w:hAnsi="Arial" w:cs="Arial"/>
                <w:b/>
                <w:bCs/>
                <w:sz w:val="20"/>
                <w:szCs w:val="20"/>
              </w:rPr>
              <w:t xml:space="preserve">, IRS, RDT, ACT </w:t>
            </w:r>
            <w:r w:rsidR="005A39CA" w:rsidRPr="006869FB">
              <w:rPr>
                <w:rFonts w:ascii="Arial" w:hAnsi="Arial" w:cs="Arial"/>
                <w:b/>
                <w:bCs/>
                <w:sz w:val="20"/>
                <w:szCs w:val="20"/>
              </w:rPr>
              <w:t>etc.</w:t>
            </w:r>
            <w:r w:rsidRPr="006869FB">
              <w:rPr>
                <w:rFonts w:ascii="Arial" w:hAnsi="Arial" w:cs="Arial"/>
                <w:b/>
                <w:bCs/>
                <w:sz w:val="20"/>
                <w:szCs w:val="20"/>
              </w:rPr>
              <w:t xml:space="preserve">)  </w:t>
            </w:r>
          </w:p>
        </w:tc>
        <w:tc>
          <w:tcPr>
            <w:tcW w:w="720" w:type="dxa"/>
            <w:shd w:val="clear" w:color="auto" w:fill="D6E3BC"/>
          </w:tcPr>
          <w:p w14:paraId="1051998A"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57BFEC7"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0E9E240"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7996F7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45512BF"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EBD1B47"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27CC503B" w14:textId="77777777" w:rsidR="00D54ECB" w:rsidRPr="006869FB" w:rsidRDefault="00D54ECB" w:rsidP="0020756E">
            <w:pPr>
              <w:spacing w:before="120"/>
              <w:rPr>
                <w:rFonts w:ascii="Arial" w:hAnsi="Arial" w:cs="Arial"/>
                <w:sz w:val="20"/>
                <w:szCs w:val="20"/>
              </w:rPr>
            </w:pPr>
          </w:p>
        </w:tc>
      </w:tr>
      <w:tr w:rsidR="00D54ECB" w:rsidRPr="006869FB" w14:paraId="44000F73" w14:textId="77777777" w:rsidTr="001F1AAF">
        <w:trPr>
          <w:trHeight w:val="233"/>
          <w:tblHeader/>
        </w:trPr>
        <w:tc>
          <w:tcPr>
            <w:tcW w:w="4230" w:type="dxa"/>
            <w:shd w:val="clear" w:color="auto" w:fill="D6E3BC"/>
            <w:vAlign w:val="center"/>
          </w:tcPr>
          <w:p w14:paraId="6DE22CD2" w14:textId="77777777" w:rsidR="00D54ECB" w:rsidRPr="006869FB" w:rsidRDefault="00D54ECB" w:rsidP="0020756E">
            <w:pPr>
              <w:spacing w:before="120"/>
              <w:rPr>
                <w:rFonts w:ascii="Arial" w:hAnsi="Arial" w:cs="Arial"/>
                <w:b/>
                <w:bCs/>
                <w:i/>
                <w:iCs/>
                <w:sz w:val="20"/>
                <w:szCs w:val="20"/>
              </w:rPr>
            </w:pPr>
            <w:r w:rsidRPr="006869FB">
              <w:rPr>
                <w:rFonts w:ascii="Arial" w:hAnsi="Arial" w:cs="Arial"/>
                <w:b/>
                <w:bCs/>
                <w:sz w:val="20"/>
                <w:szCs w:val="20"/>
              </w:rPr>
              <w:t xml:space="preserve">B: Extent of annual need already planned to be met </w:t>
            </w:r>
            <w:r w:rsidRPr="006869FB">
              <w:rPr>
                <w:rFonts w:ascii="Arial" w:hAnsi="Arial" w:cs="Arial"/>
                <w:b/>
                <w:bCs/>
                <w:iCs/>
                <w:sz w:val="20"/>
                <w:szCs w:val="20"/>
              </w:rPr>
              <w:t>under the existing program and resources</w:t>
            </w:r>
          </w:p>
        </w:tc>
        <w:tc>
          <w:tcPr>
            <w:tcW w:w="720" w:type="dxa"/>
            <w:shd w:val="clear" w:color="auto" w:fill="D6E3BC"/>
          </w:tcPr>
          <w:p w14:paraId="18DE5480"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45C6EA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90E6A7E"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9182B7C"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F48E100"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9ECBC9B"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7A0C46AB" w14:textId="77777777" w:rsidR="00D54ECB" w:rsidRPr="006869FB" w:rsidRDefault="00D54ECB" w:rsidP="0020756E">
            <w:pPr>
              <w:spacing w:before="120"/>
              <w:rPr>
                <w:rFonts w:ascii="Arial" w:hAnsi="Arial" w:cs="Arial"/>
                <w:sz w:val="20"/>
                <w:szCs w:val="20"/>
              </w:rPr>
            </w:pPr>
          </w:p>
        </w:tc>
      </w:tr>
      <w:tr w:rsidR="00D54ECB" w:rsidRPr="006869FB" w14:paraId="689F35B6" w14:textId="77777777" w:rsidTr="001F1AAF">
        <w:trPr>
          <w:trHeight w:val="233"/>
          <w:tblHeader/>
        </w:trPr>
        <w:tc>
          <w:tcPr>
            <w:tcW w:w="4230" w:type="dxa"/>
            <w:shd w:val="clear" w:color="auto" w:fill="D6E3BC"/>
            <w:vAlign w:val="center"/>
          </w:tcPr>
          <w:p w14:paraId="515D7609" w14:textId="77777777" w:rsidR="00D54ECB" w:rsidRPr="006869FB" w:rsidRDefault="00D54ECB" w:rsidP="0020756E">
            <w:pPr>
              <w:spacing w:before="120"/>
              <w:rPr>
                <w:rFonts w:ascii="Arial" w:hAnsi="Arial" w:cs="Arial"/>
                <w:bCs/>
                <w:sz w:val="20"/>
                <w:szCs w:val="20"/>
              </w:rPr>
            </w:pPr>
            <w:r w:rsidRPr="006869FB">
              <w:rPr>
                <w:rFonts w:ascii="Arial" w:hAnsi="Arial" w:cs="Arial"/>
                <w:bCs/>
                <w:sz w:val="20"/>
                <w:szCs w:val="20"/>
              </w:rPr>
              <w:t>B1. Government</w:t>
            </w:r>
          </w:p>
        </w:tc>
        <w:tc>
          <w:tcPr>
            <w:tcW w:w="720" w:type="dxa"/>
            <w:shd w:val="clear" w:color="auto" w:fill="D6E3BC"/>
          </w:tcPr>
          <w:p w14:paraId="0986072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5CCE20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008A46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697C62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79AA67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2F19985"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499B5F2E" w14:textId="77777777" w:rsidR="00D54ECB" w:rsidRPr="006869FB" w:rsidRDefault="00D54ECB" w:rsidP="0020756E">
            <w:pPr>
              <w:spacing w:before="120"/>
              <w:rPr>
                <w:rFonts w:ascii="Arial" w:hAnsi="Arial" w:cs="Arial"/>
                <w:sz w:val="20"/>
                <w:szCs w:val="20"/>
              </w:rPr>
            </w:pPr>
          </w:p>
        </w:tc>
      </w:tr>
      <w:tr w:rsidR="00D54ECB" w:rsidRPr="006869FB" w14:paraId="10F3DB69" w14:textId="77777777" w:rsidTr="001F1AAF">
        <w:trPr>
          <w:trHeight w:val="233"/>
          <w:tblHeader/>
        </w:trPr>
        <w:tc>
          <w:tcPr>
            <w:tcW w:w="4230" w:type="dxa"/>
            <w:shd w:val="clear" w:color="auto" w:fill="D6E3BC"/>
            <w:vAlign w:val="center"/>
          </w:tcPr>
          <w:p w14:paraId="3EDC6454" w14:textId="05A0DF56" w:rsidR="00D54ECB" w:rsidRPr="006869FB" w:rsidRDefault="00D54ECB" w:rsidP="0020756E">
            <w:pPr>
              <w:spacing w:before="120"/>
              <w:rPr>
                <w:rFonts w:ascii="Arial" w:hAnsi="Arial" w:cs="Arial"/>
                <w:bCs/>
                <w:sz w:val="20"/>
                <w:szCs w:val="20"/>
              </w:rPr>
            </w:pPr>
            <w:r w:rsidRPr="006869FB">
              <w:rPr>
                <w:rFonts w:ascii="Arial" w:hAnsi="Arial" w:cs="Arial"/>
                <w:bCs/>
                <w:sz w:val="20"/>
                <w:szCs w:val="20"/>
              </w:rPr>
              <w:t>B</w:t>
            </w:r>
            <w:r w:rsidR="00831C03" w:rsidRPr="006869FB">
              <w:rPr>
                <w:rFonts w:ascii="Arial" w:hAnsi="Arial" w:cs="Arial"/>
                <w:bCs/>
                <w:sz w:val="20"/>
                <w:szCs w:val="20"/>
              </w:rPr>
              <w:t>2</w:t>
            </w:r>
            <w:r w:rsidRPr="006869FB">
              <w:rPr>
                <w:rFonts w:ascii="Arial" w:hAnsi="Arial" w:cs="Arial"/>
                <w:bCs/>
                <w:sz w:val="20"/>
                <w:szCs w:val="20"/>
              </w:rPr>
              <w:t xml:space="preserve">. </w:t>
            </w:r>
            <w:r w:rsidR="00831C03" w:rsidRPr="006869FB">
              <w:rPr>
                <w:rFonts w:ascii="Arial" w:hAnsi="Arial" w:cs="Arial"/>
                <w:bCs/>
                <w:sz w:val="20"/>
                <w:szCs w:val="20"/>
              </w:rPr>
              <w:t>External Resources</w:t>
            </w:r>
          </w:p>
        </w:tc>
        <w:tc>
          <w:tcPr>
            <w:tcW w:w="720" w:type="dxa"/>
            <w:shd w:val="clear" w:color="auto" w:fill="D6E3BC"/>
          </w:tcPr>
          <w:p w14:paraId="2801C2DC"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69D2B5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693A18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8A7E552"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C15669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1C0E5720"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6D31220A" w14:textId="77777777" w:rsidR="00D54ECB" w:rsidRPr="006869FB" w:rsidRDefault="00D54ECB" w:rsidP="0020756E">
            <w:pPr>
              <w:spacing w:before="120"/>
              <w:rPr>
                <w:rFonts w:ascii="Arial" w:hAnsi="Arial" w:cs="Arial"/>
                <w:sz w:val="20"/>
                <w:szCs w:val="20"/>
              </w:rPr>
            </w:pPr>
          </w:p>
        </w:tc>
      </w:tr>
      <w:tr w:rsidR="00D54ECB" w:rsidRPr="006869FB" w14:paraId="50D04B5E" w14:textId="77777777" w:rsidTr="001F1AAF">
        <w:trPr>
          <w:trHeight w:val="233"/>
          <w:tblHeader/>
        </w:trPr>
        <w:tc>
          <w:tcPr>
            <w:tcW w:w="4230" w:type="dxa"/>
            <w:shd w:val="clear" w:color="auto" w:fill="D6E3BC"/>
            <w:vAlign w:val="center"/>
          </w:tcPr>
          <w:p w14:paraId="763515B2" w14:textId="1C068672" w:rsidR="00D54ECB" w:rsidRPr="006869FB" w:rsidRDefault="00D54ECB" w:rsidP="0020756E">
            <w:pPr>
              <w:spacing w:before="120"/>
              <w:rPr>
                <w:rFonts w:ascii="Arial" w:hAnsi="Arial" w:cs="Arial"/>
                <w:bCs/>
                <w:sz w:val="20"/>
                <w:szCs w:val="20"/>
              </w:rPr>
            </w:pPr>
            <w:r w:rsidRPr="006869FB">
              <w:rPr>
                <w:rFonts w:ascii="Arial" w:hAnsi="Arial" w:cs="Arial"/>
                <w:bCs/>
                <w:sz w:val="20"/>
                <w:szCs w:val="20"/>
              </w:rPr>
              <w:t>B2</w:t>
            </w:r>
            <w:r w:rsidR="005A39CA" w:rsidRPr="006869FB">
              <w:rPr>
                <w:rFonts w:ascii="Arial" w:hAnsi="Arial" w:cs="Arial"/>
                <w:bCs/>
                <w:sz w:val="20"/>
                <w:szCs w:val="20"/>
              </w:rPr>
              <w:t>.</w:t>
            </w:r>
            <w:r w:rsidR="00831C03" w:rsidRPr="006869FB">
              <w:rPr>
                <w:rFonts w:ascii="Arial" w:hAnsi="Arial" w:cs="Arial"/>
                <w:bCs/>
                <w:sz w:val="20"/>
                <w:szCs w:val="20"/>
              </w:rPr>
              <w:t>1</w:t>
            </w:r>
            <w:r w:rsidR="00C82106" w:rsidRPr="006869FB">
              <w:rPr>
                <w:rFonts w:ascii="Arial" w:hAnsi="Arial" w:cs="Arial"/>
                <w:bCs/>
                <w:sz w:val="20"/>
                <w:szCs w:val="20"/>
              </w:rPr>
              <w:t>.</w:t>
            </w:r>
            <w:r w:rsidRPr="006869FB">
              <w:rPr>
                <w:rFonts w:ascii="Arial" w:hAnsi="Arial" w:cs="Arial"/>
                <w:bCs/>
                <w:sz w:val="20"/>
                <w:szCs w:val="20"/>
              </w:rPr>
              <w:t xml:space="preserve"> G</w:t>
            </w:r>
            <w:r w:rsidR="00724FF7" w:rsidRPr="006869FB">
              <w:rPr>
                <w:rFonts w:ascii="Arial" w:hAnsi="Arial" w:cs="Arial"/>
                <w:bCs/>
                <w:sz w:val="20"/>
                <w:szCs w:val="20"/>
              </w:rPr>
              <w:t xml:space="preserve">lobal </w:t>
            </w:r>
            <w:r w:rsidRPr="006869FB">
              <w:rPr>
                <w:rFonts w:ascii="Arial" w:hAnsi="Arial" w:cs="Arial"/>
                <w:bCs/>
                <w:sz w:val="20"/>
                <w:szCs w:val="20"/>
              </w:rPr>
              <w:t>F</w:t>
            </w:r>
            <w:r w:rsidR="00724FF7" w:rsidRPr="006869FB">
              <w:rPr>
                <w:rFonts w:ascii="Arial" w:hAnsi="Arial" w:cs="Arial"/>
                <w:bCs/>
                <w:sz w:val="20"/>
                <w:szCs w:val="20"/>
              </w:rPr>
              <w:t>und</w:t>
            </w:r>
            <w:r w:rsidRPr="006869FB">
              <w:rPr>
                <w:rFonts w:ascii="Arial" w:hAnsi="Arial" w:cs="Arial"/>
                <w:bCs/>
                <w:sz w:val="20"/>
                <w:szCs w:val="20"/>
              </w:rPr>
              <w:t xml:space="preserve"> </w:t>
            </w:r>
          </w:p>
        </w:tc>
        <w:tc>
          <w:tcPr>
            <w:tcW w:w="720" w:type="dxa"/>
            <w:shd w:val="clear" w:color="auto" w:fill="D6E3BC"/>
          </w:tcPr>
          <w:p w14:paraId="6D8E4399"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5C4413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505AAF9"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57CF8CF"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661FBAF"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8014449"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13A58AF3" w14:textId="77777777" w:rsidR="00D54ECB" w:rsidRPr="006869FB" w:rsidRDefault="00D54ECB" w:rsidP="0020756E">
            <w:pPr>
              <w:spacing w:before="120"/>
              <w:rPr>
                <w:rFonts w:ascii="Arial" w:hAnsi="Arial" w:cs="Arial"/>
                <w:sz w:val="20"/>
                <w:szCs w:val="20"/>
              </w:rPr>
            </w:pPr>
          </w:p>
        </w:tc>
      </w:tr>
      <w:tr w:rsidR="00D54ECB" w:rsidRPr="006869FB" w14:paraId="06C7DBC2" w14:textId="77777777" w:rsidTr="001F1AAF">
        <w:trPr>
          <w:trHeight w:val="233"/>
          <w:tblHeader/>
        </w:trPr>
        <w:tc>
          <w:tcPr>
            <w:tcW w:w="4230" w:type="dxa"/>
            <w:shd w:val="clear" w:color="auto" w:fill="D6E3BC"/>
            <w:vAlign w:val="center"/>
          </w:tcPr>
          <w:p w14:paraId="61E82CBD" w14:textId="4F344A54" w:rsidR="00D54ECB" w:rsidRPr="006869FB" w:rsidRDefault="00D54ECB" w:rsidP="0020756E">
            <w:pPr>
              <w:spacing w:before="120"/>
              <w:rPr>
                <w:rFonts w:ascii="Arial" w:hAnsi="Arial" w:cs="Arial"/>
                <w:bCs/>
                <w:sz w:val="20"/>
                <w:szCs w:val="20"/>
              </w:rPr>
            </w:pPr>
            <w:r w:rsidRPr="006869FB">
              <w:rPr>
                <w:rFonts w:ascii="Arial" w:hAnsi="Arial" w:cs="Arial"/>
                <w:bCs/>
                <w:sz w:val="20"/>
                <w:szCs w:val="20"/>
              </w:rPr>
              <w:t>B</w:t>
            </w:r>
            <w:r w:rsidR="00831C03" w:rsidRPr="006869FB">
              <w:rPr>
                <w:rFonts w:ascii="Arial" w:hAnsi="Arial" w:cs="Arial"/>
                <w:bCs/>
                <w:sz w:val="20"/>
                <w:szCs w:val="20"/>
              </w:rPr>
              <w:t>2.2</w:t>
            </w:r>
            <w:r w:rsidRPr="006869FB">
              <w:rPr>
                <w:rFonts w:ascii="Arial" w:hAnsi="Arial" w:cs="Arial"/>
                <w:bCs/>
                <w:sz w:val="20"/>
                <w:szCs w:val="20"/>
              </w:rPr>
              <w:t>. Other partners</w:t>
            </w:r>
            <w:r w:rsidR="009852A4" w:rsidRPr="006869FB">
              <w:rPr>
                <w:rFonts w:ascii="Arial" w:hAnsi="Arial" w:cs="Arial"/>
                <w:bCs/>
                <w:sz w:val="20"/>
                <w:szCs w:val="20"/>
              </w:rPr>
              <w:t xml:space="preserve"> (name them)</w:t>
            </w:r>
          </w:p>
        </w:tc>
        <w:tc>
          <w:tcPr>
            <w:tcW w:w="720" w:type="dxa"/>
            <w:shd w:val="clear" w:color="auto" w:fill="D6E3BC"/>
          </w:tcPr>
          <w:p w14:paraId="23093577"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354D1C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8016875"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911392E"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4CB6A09"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AAFAA51"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4025D778" w14:textId="77777777" w:rsidR="00D54ECB" w:rsidRPr="006869FB" w:rsidRDefault="00D54ECB" w:rsidP="0020756E">
            <w:pPr>
              <w:spacing w:before="120"/>
              <w:rPr>
                <w:rFonts w:ascii="Arial" w:hAnsi="Arial" w:cs="Arial"/>
                <w:sz w:val="20"/>
                <w:szCs w:val="20"/>
              </w:rPr>
            </w:pPr>
          </w:p>
        </w:tc>
      </w:tr>
      <w:tr w:rsidR="00D54ECB" w:rsidRPr="006869FB" w14:paraId="7130E6E6" w14:textId="77777777" w:rsidTr="001F1AAF">
        <w:trPr>
          <w:trHeight w:val="233"/>
          <w:tblHeader/>
        </w:trPr>
        <w:tc>
          <w:tcPr>
            <w:tcW w:w="4230" w:type="dxa"/>
            <w:shd w:val="clear" w:color="auto" w:fill="D6E3BC"/>
            <w:vAlign w:val="center"/>
          </w:tcPr>
          <w:p w14:paraId="3C4647B1" w14:textId="207CA0A1" w:rsidR="00D54ECB" w:rsidRPr="006869FB" w:rsidRDefault="00D54ECB" w:rsidP="0020756E">
            <w:pPr>
              <w:spacing w:before="120"/>
              <w:rPr>
                <w:rFonts w:ascii="Arial" w:hAnsi="Arial" w:cs="Arial"/>
                <w:bCs/>
                <w:sz w:val="20"/>
                <w:szCs w:val="20"/>
              </w:rPr>
            </w:pPr>
            <w:r w:rsidRPr="006869FB">
              <w:rPr>
                <w:rFonts w:ascii="Arial" w:hAnsi="Arial" w:cs="Arial"/>
                <w:bCs/>
                <w:sz w:val="20"/>
                <w:szCs w:val="20"/>
              </w:rPr>
              <w:t>B</w:t>
            </w:r>
            <w:r w:rsidR="00831C03" w:rsidRPr="006869FB">
              <w:rPr>
                <w:rFonts w:ascii="Arial" w:hAnsi="Arial" w:cs="Arial"/>
                <w:bCs/>
                <w:sz w:val="20"/>
                <w:szCs w:val="20"/>
              </w:rPr>
              <w:t xml:space="preserve">2.3 </w:t>
            </w:r>
            <w:r w:rsidRPr="006869FB">
              <w:rPr>
                <w:rFonts w:ascii="Arial" w:hAnsi="Arial" w:cs="Arial"/>
                <w:bCs/>
                <w:sz w:val="20"/>
                <w:szCs w:val="20"/>
              </w:rPr>
              <w:t xml:space="preserve">3. Other </w:t>
            </w:r>
            <w:r w:rsidR="005F2972" w:rsidRPr="006869FB">
              <w:rPr>
                <w:rFonts w:ascii="Arial" w:hAnsi="Arial" w:cs="Arial"/>
                <w:bCs/>
                <w:sz w:val="20"/>
                <w:szCs w:val="20"/>
              </w:rPr>
              <w:t>partners (</w:t>
            </w:r>
            <w:r w:rsidR="009852A4" w:rsidRPr="006869FB">
              <w:rPr>
                <w:rFonts w:ascii="Arial" w:hAnsi="Arial" w:cs="Arial"/>
                <w:bCs/>
                <w:sz w:val="20"/>
                <w:szCs w:val="20"/>
              </w:rPr>
              <w:t>name them)</w:t>
            </w:r>
          </w:p>
        </w:tc>
        <w:tc>
          <w:tcPr>
            <w:tcW w:w="720" w:type="dxa"/>
            <w:shd w:val="clear" w:color="auto" w:fill="D6E3BC"/>
          </w:tcPr>
          <w:p w14:paraId="6F391D3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D222DCD"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344107A"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0538EDAB"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402685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1B6922A1"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2B623250" w14:textId="77777777" w:rsidR="00D54ECB" w:rsidRPr="006869FB" w:rsidRDefault="00D54ECB" w:rsidP="0020756E">
            <w:pPr>
              <w:spacing w:before="120"/>
              <w:rPr>
                <w:rFonts w:ascii="Arial" w:hAnsi="Arial" w:cs="Arial"/>
                <w:sz w:val="20"/>
                <w:szCs w:val="20"/>
              </w:rPr>
            </w:pPr>
          </w:p>
        </w:tc>
      </w:tr>
      <w:tr w:rsidR="00D54ECB" w:rsidRPr="006869FB" w14:paraId="6D863084" w14:textId="77777777" w:rsidTr="001F1AAF">
        <w:trPr>
          <w:trHeight w:val="233"/>
          <w:tblHeader/>
        </w:trPr>
        <w:tc>
          <w:tcPr>
            <w:tcW w:w="4230" w:type="dxa"/>
            <w:shd w:val="clear" w:color="auto" w:fill="D6E3BC"/>
            <w:vAlign w:val="center"/>
          </w:tcPr>
          <w:p w14:paraId="7C16FC76" w14:textId="7A32221D" w:rsidR="00D54ECB" w:rsidRPr="006869FB" w:rsidRDefault="005F2972" w:rsidP="0020756E">
            <w:pPr>
              <w:spacing w:before="120"/>
              <w:rPr>
                <w:rFonts w:ascii="Arial" w:hAnsi="Arial" w:cs="Arial"/>
                <w:bCs/>
                <w:sz w:val="20"/>
                <w:szCs w:val="20"/>
              </w:rPr>
            </w:pPr>
            <w:r w:rsidRPr="006869FB">
              <w:rPr>
                <w:rFonts w:ascii="Arial" w:hAnsi="Arial" w:cs="Arial"/>
                <w:bCs/>
                <w:sz w:val="20"/>
                <w:szCs w:val="20"/>
              </w:rPr>
              <w:t>B total</w:t>
            </w:r>
            <w:r w:rsidR="009852A4" w:rsidRPr="006869FB">
              <w:rPr>
                <w:rFonts w:ascii="Arial" w:hAnsi="Arial" w:cs="Arial"/>
                <w:bCs/>
                <w:sz w:val="20"/>
                <w:szCs w:val="20"/>
              </w:rPr>
              <w:t xml:space="preserve"> </w:t>
            </w:r>
          </w:p>
        </w:tc>
        <w:tc>
          <w:tcPr>
            <w:tcW w:w="720" w:type="dxa"/>
            <w:shd w:val="clear" w:color="auto" w:fill="D6E3BC"/>
          </w:tcPr>
          <w:p w14:paraId="18E04543"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ECDE1B2"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B585901"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375B7892"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B2D4098"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213F2F8"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725CCF36" w14:textId="77777777" w:rsidR="00D54ECB" w:rsidRPr="006869FB" w:rsidRDefault="00D54ECB" w:rsidP="0020756E">
            <w:pPr>
              <w:spacing w:before="120"/>
              <w:rPr>
                <w:rFonts w:ascii="Arial" w:hAnsi="Arial" w:cs="Arial"/>
                <w:sz w:val="20"/>
                <w:szCs w:val="20"/>
              </w:rPr>
            </w:pPr>
          </w:p>
        </w:tc>
      </w:tr>
      <w:tr w:rsidR="00D54ECB" w:rsidRPr="006869FB" w14:paraId="1C5B9F03" w14:textId="77777777" w:rsidTr="001F1AAF">
        <w:trPr>
          <w:trHeight w:val="233"/>
          <w:tblHeader/>
        </w:trPr>
        <w:tc>
          <w:tcPr>
            <w:tcW w:w="4230" w:type="dxa"/>
            <w:shd w:val="clear" w:color="auto" w:fill="D6E3BC"/>
            <w:vAlign w:val="center"/>
          </w:tcPr>
          <w:p w14:paraId="5000395B" w14:textId="2C7118D0" w:rsidR="00D54ECB" w:rsidRPr="006869FB" w:rsidRDefault="00D54ECB" w:rsidP="0020756E">
            <w:pPr>
              <w:spacing w:before="120"/>
              <w:rPr>
                <w:rFonts w:ascii="Arial" w:hAnsi="Arial" w:cs="Arial"/>
                <w:b/>
                <w:bCs/>
                <w:sz w:val="20"/>
                <w:szCs w:val="20"/>
              </w:rPr>
            </w:pPr>
            <w:r w:rsidRPr="006869FB">
              <w:rPr>
                <w:rFonts w:ascii="Arial" w:hAnsi="Arial" w:cs="Arial"/>
                <w:b/>
                <w:bCs/>
                <w:sz w:val="20"/>
                <w:szCs w:val="20"/>
              </w:rPr>
              <w:t xml:space="preserve">C: Expected </w:t>
            </w:r>
            <w:r w:rsidR="006A03A3">
              <w:rPr>
                <w:rFonts w:ascii="Arial" w:hAnsi="Arial" w:cs="Arial"/>
                <w:b/>
                <w:bCs/>
                <w:sz w:val="20"/>
                <w:szCs w:val="20"/>
              </w:rPr>
              <w:t xml:space="preserve">total </w:t>
            </w:r>
            <w:r w:rsidRPr="006869FB">
              <w:rPr>
                <w:rFonts w:ascii="Arial" w:hAnsi="Arial" w:cs="Arial"/>
                <w:b/>
                <w:bCs/>
                <w:sz w:val="20"/>
                <w:szCs w:val="20"/>
              </w:rPr>
              <w:t xml:space="preserve">gap in achieving targets (= A – B) </w:t>
            </w:r>
          </w:p>
        </w:tc>
        <w:tc>
          <w:tcPr>
            <w:tcW w:w="720" w:type="dxa"/>
            <w:shd w:val="clear" w:color="auto" w:fill="D6E3BC"/>
          </w:tcPr>
          <w:p w14:paraId="33A5263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61B7AA6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5E110184"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4D740576"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770257E8" w14:textId="77777777" w:rsidR="00D54ECB" w:rsidRPr="006869FB" w:rsidRDefault="00D54ECB" w:rsidP="0020756E">
            <w:pPr>
              <w:spacing w:before="120"/>
              <w:rPr>
                <w:rFonts w:ascii="Arial" w:hAnsi="Arial" w:cs="Arial"/>
                <w:sz w:val="20"/>
                <w:szCs w:val="20"/>
              </w:rPr>
            </w:pPr>
          </w:p>
        </w:tc>
        <w:tc>
          <w:tcPr>
            <w:tcW w:w="720" w:type="dxa"/>
            <w:shd w:val="clear" w:color="auto" w:fill="D6E3BC"/>
          </w:tcPr>
          <w:p w14:paraId="2FF34988" w14:textId="77777777" w:rsidR="00D54ECB" w:rsidRPr="006869FB" w:rsidRDefault="00D54ECB" w:rsidP="0020756E">
            <w:pPr>
              <w:spacing w:before="120"/>
              <w:rPr>
                <w:rFonts w:ascii="Arial" w:hAnsi="Arial" w:cs="Arial"/>
                <w:sz w:val="20"/>
                <w:szCs w:val="20"/>
              </w:rPr>
            </w:pPr>
          </w:p>
        </w:tc>
        <w:tc>
          <w:tcPr>
            <w:tcW w:w="810" w:type="dxa"/>
            <w:shd w:val="clear" w:color="auto" w:fill="D6E3BC"/>
          </w:tcPr>
          <w:p w14:paraId="2358AFC3" w14:textId="77777777" w:rsidR="00D54ECB" w:rsidRPr="006869FB" w:rsidRDefault="00D54ECB" w:rsidP="0020756E">
            <w:pPr>
              <w:spacing w:before="120"/>
              <w:rPr>
                <w:rFonts w:ascii="Arial" w:hAnsi="Arial" w:cs="Arial"/>
                <w:sz w:val="20"/>
                <w:szCs w:val="20"/>
              </w:rPr>
            </w:pPr>
          </w:p>
        </w:tc>
      </w:tr>
    </w:tbl>
    <w:p w14:paraId="6F724838" w14:textId="18172999" w:rsidR="00FB3C97" w:rsidRPr="006869FB" w:rsidRDefault="00045A48" w:rsidP="0020756E">
      <w:pPr>
        <w:pStyle w:val="Default"/>
        <w:spacing w:before="120"/>
        <w:ind w:right="45"/>
        <w:jc w:val="both"/>
        <w:rPr>
          <w:rFonts w:ascii="Arial" w:hAnsi="Arial" w:cs="Arial"/>
          <w:bCs/>
          <w:iCs/>
          <w:sz w:val="20"/>
          <w:szCs w:val="20"/>
        </w:rPr>
      </w:pPr>
      <w:r w:rsidRPr="006869FB">
        <w:rPr>
          <w:rFonts w:ascii="Arial" w:hAnsi="Arial" w:cs="Arial"/>
          <w:iCs/>
          <w:sz w:val="20"/>
          <w:szCs w:val="20"/>
        </w:rPr>
        <w:lastRenderedPageBreak/>
        <w:t xml:space="preserve">The gap analysis </w:t>
      </w:r>
      <w:r w:rsidR="00B267E0" w:rsidRPr="006869FB">
        <w:rPr>
          <w:rFonts w:ascii="Arial" w:hAnsi="Arial" w:cs="Arial"/>
          <w:iCs/>
          <w:sz w:val="20"/>
          <w:szCs w:val="20"/>
        </w:rPr>
        <w:t xml:space="preserve">should be </w:t>
      </w:r>
      <w:proofErr w:type="gramStart"/>
      <w:r w:rsidR="00665560" w:rsidRPr="006869FB">
        <w:rPr>
          <w:rFonts w:ascii="Arial" w:hAnsi="Arial" w:cs="Arial"/>
          <w:iCs/>
          <w:sz w:val="20"/>
          <w:szCs w:val="20"/>
        </w:rPr>
        <w:t>carried out</w:t>
      </w:r>
      <w:proofErr w:type="gramEnd"/>
      <w:r w:rsidRPr="006869FB">
        <w:rPr>
          <w:rFonts w:ascii="Arial" w:hAnsi="Arial" w:cs="Arial"/>
          <w:iCs/>
          <w:sz w:val="20"/>
          <w:szCs w:val="20"/>
        </w:rPr>
        <w:t xml:space="preserve"> for all main interventions and service delivery areas identified </w:t>
      </w:r>
      <w:r w:rsidR="007C67FD">
        <w:rPr>
          <w:rFonts w:ascii="Arial" w:hAnsi="Arial" w:cs="Arial"/>
          <w:iCs/>
          <w:sz w:val="20"/>
          <w:szCs w:val="20"/>
        </w:rPr>
        <w:t xml:space="preserve">in the national strategic plan. </w:t>
      </w:r>
      <w:r w:rsidRPr="006869FB">
        <w:rPr>
          <w:rFonts w:ascii="Arial" w:hAnsi="Arial" w:cs="Arial"/>
          <w:iCs/>
          <w:sz w:val="20"/>
          <w:szCs w:val="20"/>
        </w:rPr>
        <w:t xml:space="preserve">The numbers in the programmatic gap analysis table are related to </w:t>
      </w:r>
      <w:r w:rsidRPr="006869FB">
        <w:rPr>
          <w:rFonts w:ascii="Arial" w:hAnsi="Arial" w:cs="Arial"/>
          <w:bCs/>
          <w:iCs/>
          <w:color w:val="auto"/>
          <w:sz w:val="20"/>
          <w:szCs w:val="20"/>
          <w:lang w:val="en-US" w:eastAsia="en-US"/>
        </w:rPr>
        <w:t>the size of the population groups targeted by the priority interventions, not the financial need for the interventions.</w:t>
      </w:r>
      <w:r w:rsidRPr="006869FB">
        <w:rPr>
          <w:rFonts w:ascii="Arial" w:hAnsi="Arial" w:cs="Arial"/>
          <w:bCs/>
          <w:iCs/>
          <w:sz w:val="20"/>
          <w:szCs w:val="20"/>
        </w:rPr>
        <w:t xml:space="preserve"> The financial gap analysis will be done </w:t>
      </w:r>
      <w:r w:rsidR="00B267E0" w:rsidRPr="006869FB">
        <w:rPr>
          <w:rFonts w:ascii="Arial" w:hAnsi="Arial" w:cs="Arial"/>
          <w:bCs/>
          <w:iCs/>
          <w:sz w:val="20"/>
          <w:szCs w:val="20"/>
        </w:rPr>
        <w:t>as a second stage in the process</w:t>
      </w:r>
      <w:proofErr w:type="gramStart"/>
      <w:r w:rsidR="00B267E0" w:rsidRPr="006869FB">
        <w:rPr>
          <w:rFonts w:ascii="Arial" w:hAnsi="Arial" w:cs="Arial"/>
          <w:bCs/>
          <w:iCs/>
          <w:sz w:val="20"/>
          <w:szCs w:val="20"/>
        </w:rPr>
        <w:t xml:space="preserve">. </w:t>
      </w:r>
      <w:r w:rsidRPr="006869FB">
        <w:rPr>
          <w:rFonts w:ascii="Arial" w:hAnsi="Arial" w:cs="Arial"/>
          <w:bCs/>
          <w:iCs/>
          <w:sz w:val="20"/>
          <w:szCs w:val="20"/>
        </w:rPr>
        <w:t xml:space="preserve"> </w:t>
      </w:r>
      <w:proofErr w:type="gramEnd"/>
    </w:p>
    <w:p w14:paraId="35A4CAEA" w14:textId="76C05BDB" w:rsidR="00AF423C" w:rsidRPr="006869FB" w:rsidRDefault="00844AE3" w:rsidP="007A7518">
      <w:pPr>
        <w:pStyle w:val="Heading1"/>
        <w:spacing w:before="120"/>
      </w:pPr>
      <w:r w:rsidRPr="006869FB">
        <w:t xml:space="preserve">Specific </w:t>
      </w:r>
      <w:r w:rsidR="009641D7" w:rsidRPr="006869FB">
        <w:t xml:space="preserve">guidance notes for </w:t>
      </w:r>
      <w:r w:rsidRPr="006869FB">
        <w:t>gap analysis</w:t>
      </w:r>
      <w:r w:rsidR="009641D7" w:rsidRPr="006869FB">
        <w:t xml:space="preserve"> </w:t>
      </w:r>
    </w:p>
    <w:p w14:paraId="0E0954B8" w14:textId="283671B3" w:rsidR="00693AD1" w:rsidRPr="006869FB" w:rsidRDefault="001E2F1D" w:rsidP="0020756E">
      <w:pPr>
        <w:pStyle w:val="Heading2"/>
        <w:spacing w:before="120"/>
        <w:rPr>
          <w:rFonts w:ascii="Arial" w:hAnsi="Arial" w:cs="Arial"/>
          <w:sz w:val="20"/>
          <w:szCs w:val="20"/>
        </w:rPr>
      </w:pPr>
      <w:r w:rsidRPr="006869FB">
        <w:rPr>
          <w:rFonts w:ascii="Arial" w:hAnsi="Arial" w:cs="Arial"/>
          <w:sz w:val="20"/>
          <w:szCs w:val="20"/>
        </w:rPr>
        <w:t>ITN</w:t>
      </w:r>
      <w:r w:rsidR="00693AD1" w:rsidRPr="006869FB">
        <w:rPr>
          <w:rFonts w:ascii="Arial" w:hAnsi="Arial" w:cs="Arial"/>
          <w:sz w:val="20"/>
          <w:szCs w:val="20"/>
        </w:rPr>
        <w:t xml:space="preserve"> gap analysis </w:t>
      </w:r>
    </w:p>
    <w:p w14:paraId="5E015B85" w14:textId="44AA0E41" w:rsidR="006A03A3" w:rsidRPr="007C67FD" w:rsidRDefault="00976035" w:rsidP="00A6629D">
      <w:pPr>
        <w:pStyle w:val="ListParagraph"/>
        <w:numPr>
          <w:ilvl w:val="0"/>
          <w:numId w:val="4"/>
        </w:numPr>
        <w:spacing w:before="120"/>
        <w:jc w:val="both"/>
        <w:rPr>
          <w:rFonts w:ascii="Arial" w:hAnsi="Arial" w:cs="Arial"/>
          <w:sz w:val="20"/>
          <w:szCs w:val="20"/>
        </w:rPr>
      </w:pPr>
      <w:r w:rsidRPr="006869FB">
        <w:rPr>
          <w:rFonts w:ascii="Arial" w:hAnsi="Arial" w:cs="Arial"/>
          <w:sz w:val="20"/>
          <w:szCs w:val="20"/>
        </w:rPr>
        <w:t>Not</w:t>
      </w:r>
      <w:r w:rsidR="0060054C" w:rsidRPr="006869FB">
        <w:rPr>
          <w:rFonts w:ascii="Arial" w:hAnsi="Arial" w:cs="Arial"/>
          <w:sz w:val="20"/>
          <w:szCs w:val="20"/>
        </w:rPr>
        <w:t>e</w:t>
      </w:r>
      <w:r w:rsidRPr="006869FB">
        <w:rPr>
          <w:rFonts w:ascii="Arial" w:hAnsi="Arial" w:cs="Arial"/>
          <w:sz w:val="20"/>
          <w:szCs w:val="20"/>
        </w:rPr>
        <w:t xml:space="preserve"> the </w:t>
      </w:r>
      <w:r w:rsidR="006A03A3">
        <w:rPr>
          <w:rFonts w:ascii="Arial" w:hAnsi="Arial" w:cs="Arial"/>
          <w:sz w:val="20"/>
          <w:szCs w:val="20"/>
        </w:rPr>
        <w:t>t</w:t>
      </w:r>
      <w:r w:rsidRPr="006869FB">
        <w:rPr>
          <w:rFonts w:ascii="Arial" w:hAnsi="Arial" w:cs="Arial"/>
          <w:sz w:val="20"/>
          <w:szCs w:val="20"/>
        </w:rPr>
        <w:t xml:space="preserve">otal </w:t>
      </w:r>
      <w:r w:rsidR="006A03A3">
        <w:rPr>
          <w:rFonts w:ascii="Arial" w:hAnsi="Arial" w:cs="Arial"/>
          <w:sz w:val="20"/>
          <w:szCs w:val="20"/>
        </w:rPr>
        <w:t>p</w:t>
      </w:r>
      <w:r w:rsidRPr="006869FB">
        <w:rPr>
          <w:rFonts w:ascii="Arial" w:hAnsi="Arial" w:cs="Arial"/>
          <w:sz w:val="20"/>
          <w:szCs w:val="20"/>
        </w:rPr>
        <w:t>opulation</w:t>
      </w:r>
    </w:p>
    <w:p w14:paraId="7290429B" w14:textId="11501FCE" w:rsidR="004960D1" w:rsidRPr="006869FB" w:rsidRDefault="007C67FD" w:rsidP="00A6629D">
      <w:pPr>
        <w:pStyle w:val="ListParagraph"/>
        <w:numPr>
          <w:ilvl w:val="0"/>
          <w:numId w:val="4"/>
        </w:numPr>
        <w:spacing w:before="120"/>
        <w:jc w:val="both"/>
        <w:rPr>
          <w:rFonts w:ascii="Arial" w:hAnsi="Arial" w:cs="Arial"/>
          <w:sz w:val="20"/>
          <w:szCs w:val="20"/>
        </w:rPr>
      </w:pPr>
      <w:r>
        <w:rPr>
          <w:rFonts w:ascii="Arial" w:hAnsi="Arial" w:cs="Arial"/>
          <w:sz w:val="20"/>
          <w:szCs w:val="20"/>
        </w:rPr>
        <w:t>D</w:t>
      </w:r>
      <w:r w:rsidR="00693AD1" w:rsidRPr="006869FB">
        <w:rPr>
          <w:rFonts w:ascii="Arial" w:hAnsi="Arial" w:cs="Arial"/>
          <w:sz w:val="20"/>
          <w:szCs w:val="20"/>
        </w:rPr>
        <w:t xml:space="preserve">efine </w:t>
      </w:r>
      <w:r w:rsidR="00D5152E" w:rsidRPr="006869FB">
        <w:rPr>
          <w:rFonts w:ascii="Arial" w:hAnsi="Arial" w:cs="Arial"/>
          <w:sz w:val="20"/>
          <w:szCs w:val="20"/>
        </w:rPr>
        <w:t xml:space="preserve">the </w:t>
      </w:r>
      <w:r w:rsidR="005B37B3" w:rsidRPr="006869FB">
        <w:rPr>
          <w:rFonts w:ascii="Arial" w:hAnsi="Arial" w:cs="Arial"/>
          <w:sz w:val="20"/>
          <w:szCs w:val="20"/>
        </w:rPr>
        <w:t>targeted population</w:t>
      </w:r>
      <w:r w:rsidR="00C7132D" w:rsidRPr="00C7132D">
        <w:t xml:space="preserve"> </w:t>
      </w:r>
      <w:r w:rsidR="00C7132D" w:rsidRPr="00C7132D">
        <w:rPr>
          <w:rFonts w:ascii="Arial" w:hAnsi="Arial" w:cs="Arial"/>
          <w:sz w:val="20"/>
          <w:szCs w:val="20"/>
        </w:rPr>
        <w:t xml:space="preserve">High, sustained coverage requires both periodic mass campaigns and continuous distribution of nets. Priority should be given to routine distribution of ITNs through antenatal clinics or the expanded programme for immunization to ensure sustained ITN access for the most biologically vulnerable </w:t>
      </w:r>
      <w:proofErr w:type="gramStart"/>
      <w:r w:rsidR="00C7132D" w:rsidRPr="00C7132D">
        <w:rPr>
          <w:rFonts w:ascii="Arial" w:hAnsi="Arial" w:cs="Arial"/>
          <w:sz w:val="20"/>
          <w:szCs w:val="20"/>
        </w:rPr>
        <w:t>populations.</w:t>
      </w:r>
      <w:r w:rsidR="00170FF8" w:rsidRPr="006869FB">
        <w:rPr>
          <w:rFonts w:ascii="Arial" w:hAnsi="Arial" w:cs="Arial"/>
          <w:sz w:val="20"/>
          <w:szCs w:val="20"/>
        </w:rPr>
        <w:t>.</w:t>
      </w:r>
      <w:proofErr w:type="gramEnd"/>
      <w:r w:rsidR="006C438D" w:rsidRPr="006869FB">
        <w:rPr>
          <w:rFonts w:ascii="Arial" w:hAnsi="Arial" w:cs="Arial"/>
          <w:sz w:val="20"/>
          <w:szCs w:val="20"/>
        </w:rPr>
        <w:t xml:space="preserve"> </w:t>
      </w:r>
    </w:p>
    <w:p w14:paraId="1D5538A5" w14:textId="23749244" w:rsidR="0060054C" w:rsidRPr="006869FB" w:rsidRDefault="0060054C" w:rsidP="00A6629D">
      <w:pPr>
        <w:pStyle w:val="ListParagraph"/>
        <w:numPr>
          <w:ilvl w:val="0"/>
          <w:numId w:val="4"/>
        </w:numPr>
        <w:spacing w:before="120"/>
        <w:jc w:val="both"/>
        <w:rPr>
          <w:rFonts w:ascii="Arial" w:hAnsi="Arial" w:cs="Arial"/>
          <w:sz w:val="20"/>
          <w:szCs w:val="20"/>
        </w:rPr>
      </w:pPr>
      <w:r w:rsidRPr="006869FB">
        <w:rPr>
          <w:rFonts w:ascii="Arial" w:hAnsi="Arial" w:cs="Arial"/>
          <w:sz w:val="20"/>
          <w:szCs w:val="20"/>
        </w:rPr>
        <w:t xml:space="preserve">Mass </w:t>
      </w:r>
      <w:r w:rsidR="00170D46">
        <w:rPr>
          <w:rFonts w:ascii="Arial" w:hAnsi="Arial" w:cs="Arial"/>
          <w:sz w:val="20"/>
          <w:szCs w:val="20"/>
        </w:rPr>
        <w:t>c</w:t>
      </w:r>
      <w:r w:rsidRPr="006869FB">
        <w:rPr>
          <w:rFonts w:ascii="Arial" w:hAnsi="Arial" w:cs="Arial"/>
          <w:sz w:val="20"/>
          <w:szCs w:val="20"/>
        </w:rPr>
        <w:t>ampaigns</w:t>
      </w:r>
    </w:p>
    <w:p w14:paraId="3D8D2921" w14:textId="086ED806" w:rsidR="00693AD1" w:rsidRDefault="00693AD1" w:rsidP="00A6629D">
      <w:pPr>
        <w:pStyle w:val="ListParagraph"/>
        <w:numPr>
          <w:ilvl w:val="0"/>
          <w:numId w:val="13"/>
        </w:numPr>
        <w:spacing w:before="120"/>
        <w:jc w:val="both"/>
        <w:rPr>
          <w:rFonts w:ascii="Arial" w:hAnsi="Arial" w:cs="Arial"/>
          <w:sz w:val="20"/>
          <w:szCs w:val="20"/>
        </w:rPr>
      </w:pPr>
      <w:r w:rsidRPr="006869FB">
        <w:rPr>
          <w:rFonts w:ascii="Arial" w:hAnsi="Arial" w:cs="Arial"/>
          <w:sz w:val="20"/>
          <w:szCs w:val="20"/>
        </w:rPr>
        <w:t xml:space="preserve">Define the population living in malarious areas </w:t>
      </w:r>
      <w:r w:rsidR="005B37B3" w:rsidRPr="006869FB">
        <w:rPr>
          <w:rFonts w:ascii="Arial" w:hAnsi="Arial" w:cs="Arial"/>
          <w:sz w:val="20"/>
          <w:szCs w:val="20"/>
        </w:rPr>
        <w:t xml:space="preserve">to be </w:t>
      </w:r>
      <w:r w:rsidRPr="006869FB">
        <w:rPr>
          <w:rFonts w:ascii="Arial" w:hAnsi="Arial" w:cs="Arial"/>
          <w:sz w:val="20"/>
          <w:szCs w:val="20"/>
        </w:rPr>
        <w:t xml:space="preserve">targeted for campaigns. </w:t>
      </w:r>
      <w:r w:rsidR="007A3CD0" w:rsidRPr="006869FB">
        <w:rPr>
          <w:rFonts w:ascii="Arial" w:hAnsi="Arial" w:cs="Arial"/>
          <w:sz w:val="20"/>
          <w:szCs w:val="20"/>
        </w:rPr>
        <w:t xml:space="preserve">The targeted population will vary depending on the epidemiology, </w:t>
      </w:r>
      <w:r w:rsidR="008E5F12" w:rsidRPr="006869FB">
        <w:rPr>
          <w:rFonts w:ascii="Arial" w:hAnsi="Arial" w:cs="Arial"/>
          <w:sz w:val="20"/>
          <w:szCs w:val="20"/>
        </w:rPr>
        <w:t xml:space="preserve">NSP prioritization and planned targeting. </w:t>
      </w:r>
      <w:r w:rsidR="00AE0EA7" w:rsidRPr="006869FB">
        <w:rPr>
          <w:rFonts w:ascii="Arial" w:hAnsi="Arial" w:cs="Arial"/>
          <w:sz w:val="20"/>
          <w:szCs w:val="20"/>
        </w:rPr>
        <w:t xml:space="preserve"> Note the assum</w:t>
      </w:r>
      <w:r w:rsidR="00240422" w:rsidRPr="006869FB">
        <w:rPr>
          <w:rFonts w:ascii="Arial" w:hAnsi="Arial" w:cs="Arial"/>
          <w:sz w:val="20"/>
          <w:szCs w:val="20"/>
        </w:rPr>
        <w:t xml:space="preserve">ptions in the narrative (For example, targeting does not include major urban areas with very low </w:t>
      </w:r>
      <w:r w:rsidR="005F2972" w:rsidRPr="006869FB">
        <w:rPr>
          <w:rFonts w:ascii="Arial" w:hAnsi="Arial" w:cs="Arial"/>
          <w:sz w:val="20"/>
          <w:szCs w:val="20"/>
        </w:rPr>
        <w:t>burden but</w:t>
      </w:r>
      <w:r w:rsidR="00240422" w:rsidRPr="006869FB">
        <w:rPr>
          <w:rFonts w:ascii="Arial" w:hAnsi="Arial" w:cs="Arial"/>
          <w:sz w:val="20"/>
          <w:szCs w:val="20"/>
        </w:rPr>
        <w:t xml:space="preserve"> does include refugee populations).</w:t>
      </w:r>
    </w:p>
    <w:p w14:paraId="1F620D9D" w14:textId="2ED79200" w:rsidR="00F001B6" w:rsidRPr="007C67FD" w:rsidRDefault="00F001B6" w:rsidP="00A6629D">
      <w:pPr>
        <w:pStyle w:val="ListParagraph"/>
        <w:numPr>
          <w:ilvl w:val="0"/>
          <w:numId w:val="13"/>
        </w:numPr>
        <w:spacing w:before="120"/>
        <w:jc w:val="both"/>
        <w:rPr>
          <w:rFonts w:ascii="Arial" w:hAnsi="Arial" w:cs="Arial"/>
          <w:sz w:val="20"/>
          <w:szCs w:val="20"/>
        </w:rPr>
      </w:pPr>
      <w:r w:rsidRPr="007C67FD">
        <w:rPr>
          <w:rFonts w:ascii="Arial" w:hAnsi="Arial" w:cs="Arial"/>
          <w:sz w:val="20"/>
          <w:szCs w:val="20"/>
        </w:rPr>
        <w:t>Insert details of the assumptions if you are not using the population projected from the census</w:t>
      </w:r>
      <w:r>
        <w:rPr>
          <w:rFonts w:ascii="Arial" w:hAnsi="Arial" w:cs="Arial"/>
          <w:sz w:val="20"/>
          <w:szCs w:val="20"/>
        </w:rPr>
        <w:t>.</w:t>
      </w:r>
      <w:r w:rsidRPr="007C67FD">
        <w:rPr>
          <w:rFonts w:ascii="Arial" w:hAnsi="Arial" w:cs="Arial"/>
          <w:sz w:val="20"/>
          <w:szCs w:val="20"/>
        </w:rPr>
        <w:t xml:space="preserve"> </w:t>
      </w:r>
      <w:r>
        <w:rPr>
          <w:rFonts w:ascii="Arial" w:hAnsi="Arial" w:cs="Arial"/>
          <w:sz w:val="20"/>
          <w:szCs w:val="20"/>
        </w:rPr>
        <w:t>F</w:t>
      </w:r>
      <w:r w:rsidRPr="007C67FD">
        <w:rPr>
          <w:rFonts w:ascii="Arial" w:hAnsi="Arial" w:cs="Arial"/>
          <w:sz w:val="20"/>
          <w:szCs w:val="20"/>
        </w:rPr>
        <w:t xml:space="preserve">or example, </w:t>
      </w:r>
      <w:r>
        <w:rPr>
          <w:rFonts w:ascii="Arial" w:hAnsi="Arial" w:cs="Arial"/>
          <w:sz w:val="20"/>
          <w:szCs w:val="20"/>
        </w:rPr>
        <w:t>“</w:t>
      </w:r>
      <w:r w:rsidRPr="007C67FD">
        <w:rPr>
          <w:rFonts w:ascii="Arial" w:hAnsi="Arial" w:cs="Arial"/>
          <w:sz w:val="20"/>
          <w:szCs w:val="20"/>
        </w:rPr>
        <w:t>Registration from the previous campaign is being used with an adjustment of -2% to account for poor registration in some areas</w:t>
      </w:r>
      <w:r w:rsidR="00170D46">
        <w:rPr>
          <w:rFonts w:ascii="Arial" w:hAnsi="Arial" w:cs="Arial"/>
          <w:sz w:val="20"/>
          <w:szCs w:val="20"/>
        </w:rPr>
        <w:t>;</w:t>
      </w:r>
      <w:r w:rsidRPr="007C67FD">
        <w:rPr>
          <w:rFonts w:ascii="Arial" w:hAnsi="Arial" w:cs="Arial"/>
          <w:sz w:val="20"/>
          <w:szCs w:val="20"/>
        </w:rPr>
        <w:t xml:space="preserve"> the </w:t>
      </w:r>
      <w:r>
        <w:rPr>
          <w:rFonts w:ascii="Arial" w:hAnsi="Arial" w:cs="Arial"/>
          <w:sz w:val="20"/>
          <w:szCs w:val="20"/>
        </w:rPr>
        <w:t xml:space="preserve">adjusted </w:t>
      </w:r>
      <w:r w:rsidRPr="007C67FD">
        <w:rPr>
          <w:rFonts w:ascii="Arial" w:hAnsi="Arial" w:cs="Arial"/>
          <w:sz w:val="20"/>
          <w:szCs w:val="20"/>
        </w:rPr>
        <w:t>population from the previous campaign is projected using the national population growth rate of 3%.”</w:t>
      </w:r>
    </w:p>
    <w:p w14:paraId="293E0E13" w14:textId="2044D3DF" w:rsidR="00B34DA7" w:rsidRPr="006869FB" w:rsidRDefault="00B34DA7" w:rsidP="00A6629D">
      <w:pPr>
        <w:pStyle w:val="ListParagraph"/>
        <w:numPr>
          <w:ilvl w:val="0"/>
          <w:numId w:val="13"/>
        </w:numPr>
        <w:spacing w:before="120"/>
        <w:jc w:val="both"/>
        <w:rPr>
          <w:rFonts w:ascii="Arial" w:hAnsi="Arial" w:cs="Arial"/>
          <w:sz w:val="20"/>
          <w:szCs w:val="20"/>
        </w:rPr>
      </w:pPr>
      <w:r w:rsidRPr="006869FB">
        <w:rPr>
          <w:rFonts w:ascii="Arial" w:hAnsi="Arial" w:cs="Arial"/>
          <w:sz w:val="20"/>
          <w:szCs w:val="20"/>
        </w:rPr>
        <w:t xml:space="preserve">In </w:t>
      </w:r>
      <w:proofErr w:type="gramStart"/>
      <w:r w:rsidRPr="006869FB">
        <w:rPr>
          <w:rFonts w:ascii="Arial" w:hAnsi="Arial" w:cs="Arial"/>
          <w:sz w:val="20"/>
          <w:szCs w:val="20"/>
        </w:rPr>
        <w:t>the majority of</w:t>
      </w:r>
      <w:proofErr w:type="gramEnd"/>
      <w:r w:rsidRPr="006869FB">
        <w:rPr>
          <w:rFonts w:ascii="Arial" w:hAnsi="Arial" w:cs="Arial"/>
          <w:sz w:val="20"/>
          <w:szCs w:val="20"/>
        </w:rPr>
        <w:t xml:space="preserve"> countries, campaigns are carried out every three years. Countries using rolling campaigns or more frequent campaigns should reflect the proportion of the population to be covered each year</w:t>
      </w:r>
      <w:r w:rsidR="00522D80" w:rsidRPr="006869FB">
        <w:rPr>
          <w:rFonts w:ascii="Arial" w:hAnsi="Arial" w:cs="Arial"/>
          <w:sz w:val="20"/>
          <w:szCs w:val="20"/>
        </w:rPr>
        <w:t xml:space="preserve">. Where campaigns are proposed on a more frequent basis, include data on </w:t>
      </w:r>
      <w:r w:rsidR="00F001B6">
        <w:rPr>
          <w:rFonts w:ascii="Arial" w:hAnsi="Arial" w:cs="Arial"/>
          <w:sz w:val="20"/>
          <w:szCs w:val="20"/>
        </w:rPr>
        <w:t>ITN</w:t>
      </w:r>
      <w:r w:rsidR="00F001B6" w:rsidRPr="006869FB">
        <w:rPr>
          <w:rFonts w:ascii="Arial" w:hAnsi="Arial" w:cs="Arial"/>
          <w:sz w:val="20"/>
          <w:szCs w:val="20"/>
        </w:rPr>
        <w:t xml:space="preserve"> </w:t>
      </w:r>
      <w:r w:rsidR="00522D80" w:rsidRPr="006869FB">
        <w:rPr>
          <w:rFonts w:ascii="Arial" w:hAnsi="Arial" w:cs="Arial"/>
          <w:sz w:val="20"/>
          <w:szCs w:val="20"/>
        </w:rPr>
        <w:t>longevity</w:t>
      </w:r>
      <w:r w:rsidR="00187B0B">
        <w:rPr>
          <w:rFonts w:ascii="Arial" w:hAnsi="Arial" w:cs="Arial"/>
          <w:sz w:val="20"/>
          <w:szCs w:val="20"/>
        </w:rPr>
        <w:t xml:space="preserve"> (durability monitoring data)</w:t>
      </w:r>
      <w:r w:rsidR="00522D80" w:rsidRPr="006869FB">
        <w:rPr>
          <w:rFonts w:ascii="Arial" w:hAnsi="Arial" w:cs="Arial"/>
          <w:sz w:val="20"/>
          <w:szCs w:val="20"/>
        </w:rPr>
        <w:t xml:space="preserve"> to justify campaign spacing.</w:t>
      </w:r>
    </w:p>
    <w:p w14:paraId="087B6EF2" w14:textId="4BD9503D" w:rsidR="00827FD2" w:rsidRPr="006869FB" w:rsidRDefault="00693AD1" w:rsidP="00A6629D">
      <w:pPr>
        <w:pStyle w:val="ListParagraph"/>
        <w:numPr>
          <w:ilvl w:val="0"/>
          <w:numId w:val="12"/>
        </w:numPr>
        <w:spacing w:before="120"/>
        <w:jc w:val="both"/>
        <w:rPr>
          <w:rFonts w:ascii="Arial" w:hAnsi="Arial" w:cs="Arial"/>
          <w:sz w:val="20"/>
          <w:szCs w:val="20"/>
        </w:rPr>
      </w:pPr>
      <w:r w:rsidRPr="006869FB">
        <w:rPr>
          <w:rFonts w:ascii="Arial" w:hAnsi="Arial" w:cs="Arial"/>
          <w:sz w:val="20"/>
          <w:szCs w:val="20"/>
        </w:rPr>
        <w:t xml:space="preserve">Estimates of net requirements for campaigns are based on 1 net for 2 persons in malaria endemic areas. Based on experiences throughout Africa, and to account for people living in households with an odd number of family members, WHO and </w:t>
      </w:r>
      <w:r w:rsidR="005B7C0A" w:rsidRPr="006869FB">
        <w:rPr>
          <w:rFonts w:ascii="Arial" w:hAnsi="Arial" w:cs="Arial"/>
          <w:sz w:val="20"/>
          <w:szCs w:val="20"/>
        </w:rPr>
        <w:t xml:space="preserve">the </w:t>
      </w:r>
      <w:r w:rsidRPr="006869FB">
        <w:rPr>
          <w:rFonts w:ascii="Arial" w:hAnsi="Arial" w:cs="Arial"/>
          <w:sz w:val="20"/>
          <w:szCs w:val="20"/>
        </w:rPr>
        <w:t xml:space="preserve">RBM </w:t>
      </w:r>
      <w:r w:rsidR="00E52D05">
        <w:rPr>
          <w:rFonts w:ascii="Arial" w:hAnsi="Arial" w:cs="Arial"/>
          <w:sz w:val="20"/>
          <w:szCs w:val="20"/>
        </w:rPr>
        <w:t>P</w:t>
      </w:r>
      <w:r w:rsidR="005B7C0A" w:rsidRPr="006869FB">
        <w:rPr>
          <w:rFonts w:ascii="Arial" w:hAnsi="Arial" w:cs="Arial"/>
          <w:sz w:val="20"/>
          <w:szCs w:val="20"/>
        </w:rPr>
        <w:t xml:space="preserve">artnership </w:t>
      </w:r>
      <w:r w:rsidRPr="006869FB">
        <w:rPr>
          <w:rFonts w:ascii="Arial" w:hAnsi="Arial" w:cs="Arial"/>
          <w:sz w:val="20"/>
          <w:szCs w:val="20"/>
        </w:rPr>
        <w:t>recommend you use a calculation of the target population</w:t>
      </w:r>
      <w:r w:rsidR="00724FF7" w:rsidRPr="006869FB">
        <w:rPr>
          <w:rFonts w:ascii="Arial" w:hAnsi="Arial" w:cs="Arial"/>
          <w:sz w:val="20"/>
          <w:szCs w:val="20"/>
        </w:rPr>
        <w:t xml:space="preserve"> (A)</w:t>
      </w:r>
      <w:r w:rsidRPr="006869FB">
        <w:rPr>
          <w:rFonts w:ascii="Arial" w:hAnsi="Arial" w:cs="Arial"/>
          <w:sz w:val="20"/>
          <w:szCs w:val="20"/>
        </w:rPr>
        <w:t xml:space="preserve"> divided by 1.8 (A/1.8)</w:t>
      </w:r>
      <w:r w:rsidR="00170FF8" w:rsidRPr="006869FB">
        <w:rPr>
          <w:rFonts w:ascii="Arial" w:hAnsi="Arial" w:cs="Arial"/>
          <w:sz w:val="20"/>
          <w:szCs w:val="20"/>
        </w:rPr>
        <w:t>.</w:t>
      </w:r>
      <w:r w:rsidR="001E2F1D" w:rsidRPr="006869FB">
        <w:rPr>
          <w:rFonts w:ascii="Arial" w:hAnsi="Arial" w:cs="Arial"/>
          <w:sz w:val="20"/>
          <w:szCs w:val="20"/>
        </w:rPr>
        <w:t xml:space="preserve"> </w:t>
      </w:r>
      <w:r w:rsidR="00C7132D" w:rsidRPr="00C7132D">
        <w:rPr>
          <w:rFonts w:ascii="Arial" w:hAnsi="Arial" w:cs="Arial"/>
          <w:sz w:val="20"/>
          <w:szCs w:val="20"/>
        </w:rPr>
        <w:t xml:space="preserve"> </w:t>
      </w:r>
      <w:r w:rsidR="00A35EAE">
        <w:rPr>
          <w:rFonts w:ascii="Arial" w:hAnsi="Arial" w:cs="Arial"/>
          <w:sz w:val="20"/>
          <w:szCs w:val="20"/>
        </w:rPr>
        <w:t xml:space="preserve">If </w:t>
      </w:r>
      <w:r w:rsidR="00C7132D" w:rsidRPr="00C7132D">
        <w:rPr>
          <w:rFonts w:ascii="Arial" w:hAnsi="Arial" w:cs="Arial"/>
          <w:sz w:val="20"/>
          <w:szCs w:val="20"/>
        </w:rPr>
        <w:t>historical data show that a different factor should be used, include a justification for the different factor</w:t>
      </w:r>
    </w:p>
    <w:p w14:paraId="1BA11E0C" w14:textId="77777777" w:rsidR="006A03A3" w:rsidRDefault="00827FD2" w:rsidP="00A6629D">
      <w:pPr>
        <w:pStyle w:val="ListParagraph"/>
        <w:numPr>
          <w:ilvl w:val="0"/>
          <w:numId w:val="11"/>
        </w:numPr>
        <w:spacing w:before="120"/>
        <w:jc w:val="both"/>
        <w:rPr>
          <w:rFonts w:ascii="Arial" w:hAnsi="Arial" w:cs="Arial"/>
          <w:sz w:val="20"/>
          <w:szCs w:val="20"/>
        </w:rPr>
      </w:pPr>
      <w:r w:rsidRPr="006869FB">
        <w:rPr>
          <w:rFonts w:ascii="Arial" w:hAnsi="Arial" w:cs="Arial"/>
          <w:sz w:val="20"/>
          <w:szCs w:val="20"/>
        </w:rPr>
        <w:t xml:space="preserve">For countries where the census is greater than 5 years old, consider including a 10% buffer, or use data from previous campaigns to justify a buffer amount.  Remember to </w:t>
      </w:r>
      <w:r w:rsidR="00724FF7" w:rsidRPr="006869FB">
        <w:rPr>
          <w:rFonts w:ascii="Arial" w:hAnsi="Arial" w:cs="Arial"/>
          <w:sz w:val="20"/>
          <w:szCs w:val="20"/>
        </w:rPr>
        <w:t xml:space="preserve">include </w:t>
      </w:r>
      <w:r w:rsidRPr="006869FB">
        <w:rPr>
          <w:rFonts w:ascii="Arial" w:hAnsi="Arial" w:cs="Arial"/>
          <w:sz w:val="20"/>
          <w:szCs w:val="20"/>
        </w:rPr>
        <w:t>the date of the census</w:t>
      </w:r>
      <w:r w:rsidR="005274A9" w:rsidRPr="006869FB">
        <w:rPr>
          <w:rFonts w:ascii="Arial" w:hAnsi="Arial" w:cs="Arial"/>
          <w:sz w:val="20"/>
          <w:szCs w:val="20"/>
        </w:rPr>
        <w:t xml:space="preserve"> and any </w:t>
      </w:r>
      <w:r w:rsidR="00095E15" w:rsidRPr="006869FB">
        <w:rPr>
          <w:rFonts w:ascii="Arial" w:hAnsi="Arial" w:cs="Arial"/>
          <w:sz w:val="20"/>
          <w:szCs w:val="20"/>
        </w:rPr>
        <w:t xml:space="preserve">underlying </w:t>
      </w:r>
      <w:r w:rsidR="005274A9" w:rsidRPr="006869FB">
        <w:rPr>
          <w:rFonts w:ascii="Arial" w:hAnsi="Arial" w:cs="Arial"/>
          <w:sz w:val="20"/>
          <w:szCs w:val="20"/>
        </w:rPr>
        <w:t>assumptions.</w:t>
      </w:r>
      <w:r w:rsidR="000053AB" w:rsidRPr="006869FB">
        <w:rPr>
          <w:rFonts w:ascii="Arial" w:hAnsi="Arial" w:cs="Arial"/>
          <w:sz w:val="20"/>
          <w:szCs w:val="20"/>
        </w:rPr>
        <w:t xml:space="preserve"> </w:t>
      </w:r>
    </w:p>
    <w:p w14:paraId="6B6FB09A" w14:textId="4C067AE5" w:rsidR="00693AD1" w:rsidRPr="006869FB" w:rsidRDefault="00BC20BC" w:rsidP="00A6629D">
      <w:pPr>
        <w:pStyle w:val="ListParagraph"/>
        <w:numPr>
          <w:ilvl w:val="0"/>
          <w:numId w:val="4"/>
        </w:numPr>
        <w:spacing w:before="120"/>
        <w:jc w:val="both"/>
        <w:rPr>
          <w:rFonts w:ascii="Arial" w:hAnsi="Arial" w:cs="Arial"/>
          <w:sz w:val="20"/>
          <w:szCs w:val="20"/>
        </w:rPr>
      </w:pPr>
      <w:r>
        <w:rPr>
          <w:rFonts w:ascii="Arial" w:hAnsi="Arial" w:cs="Arial"/>
          <w:sz w:val="20"/>
          <w:szCs w:val="20"/>
        </w:rPr>
        <w:t>Continuous Distribution</w:t>
      </w:r>
    </w:p>
    <w:p w14:paraId="6D6BA9BA" w14:textId="228CB6D5" w:rsidR="00693AD1" w:rsidRPr="006869FB" w:rsidRDefault="00693AD1" w:rsidP="00A6629D">
      <w:pPr>
        <w:pStyle w:val="ListParagraph"/>
        <w:numPr>
          <w:ilvl w:val="0"/>
          <w:numId w:val="12"/>
        </w:numPr>
        <w:spacing w:before="120"/>
        <w:jc w:val="both"/>
        <w:rPr>
          <w:rFonts w:ascii="Arial" w:hAnsi="Arial" w:cs="Arial"/>
          <w:sz w:val="20"/>
          <w:szCs w:val="20"/>
        </w:rPr>
      </w:pPr>
      <w:r w:rsidRPr="006869FB">
        <w:rPr>
          <w:rFonts w:ascii="Arial" w:hAnsi="Arial" w:cs="Arial"/>
          <w:sz w:val="20"/>
          <w:szCs w:val="20"/>
        </w:rPr>
        <w:t xml:space="preserve">WHO and </w:t>
      </w:r>
      <w:r w:rsidR="005B7C0A" w:rsidRPr="006869FB">
        <w:rPr>
          <w:rFonts w:ascii="Arial" w:hAnsi="Arial" w:cs="Arial"/>
          <w:sz w:val="20"/>
          <w:szCs w:val="20"/>
        </w:rPr>
        <w:t xml:space="preserve">the </w:t>
      </w:r>
      <w:r w:rsidRPr="006869FB">
        <w:rPr>
          <w:rFonts w:ascii="Arial" w:hAnsi="Arial" w:cs="Arial"/>
          <w:sz w:val="20"/>
          <w:szCs w:val="20"/>
        </w:rPr>
        <w:t xml:space="preserve">RBM </w:t>
      </w:r>
      <w:r w:rsidR="00E52D05">
        <w:rPr>
          <w:rFonts w:ascii="Arial" w:hAnsi="Arial" w:cs="Arial"/>
          <w:sz w:val="20"/>
          <w:szCs w:val="20"/>
        </w:rPr>
        <w:t>P</w:t>
      </w:r>
      <w:r w:rsidR="005B7C0A" w:rsidRPr="006869FB">
        <w:rPr>
          <w:rFonts w:ascii="Arial" w:hAnsi="Arial" w:cs="Arial"/>
          <w:sz w:val="20"/>
          <w:szCs w:val="20"/>
        </w:rPr>
        <w:t xml:space="preserve">artnership </w:t>
      </w:r>
      <w:r w:rsidRPr="006869FB">
        <w:rPr>
          <w:rFonts w:ascii="Arial" w:hAnsi="Arial" w:cs="Arial"/>
          <w:sz w:val="20"/>
          <w:szCs w:val="20"/>
        </w:rPr>
        <w:t xml:space="preserve">recommend nets are </w:t>
      </w:r>
      <w:r w:rsidR="00290878" w:rsidRPr="006869FB">
        <w:rPr>
          <w:rFonts w:ascii="Arial" w:hAnsi="Arial" w:cs="Arial"/>
          <w:sz w:val="20"/>
          <w:szCs w:val="20"/>
        </w:rPr>
        <w:t xml:space="preserve">also </w:t>
      </w:r>
      <w:r w:rsidRPr="006869FB">
        <w:rPr>
          <w:rFonts w:ascii="Arial" w:hAnsi="Arial" w:cs="Arial"/>
          <w:sz w:val="20"/>
          <w:szCs w:val="20"/>
        </w:rPr>
        <w:t xml:space="preserve">distributed through </w:t>
      </w:r>
      <w:r w:rsidR="005B7C0A" w:rsidRPr="006869FB">
        <w:rPr>
          <w:rFonts w:ascii="Arial" w:hAnsi="Arial" w:cs="Arial"/>
          <w:sz w:val="20"/>
          <w:szCs w:val="20"/>
        </w:rPr>
        <w:t>continuous</w:t>
      </w:r>
      <w:r w:rsidR="00E52D05">
        <w:rPr>
          <w:rFonts w:ascii="Arial" w:hAnsi="Arial" w:cs="Arial"/>
          <w:sz w:val="20"/>
          <w:szCs w:val="20"/>
        </w:rPr>
        <w:t xml:space="preserve"> distribution</w:t>
      </w:r>
      <w:r w:rsidR="005B7C0A" w:rsidRPr="006869FB">
        <w:rPr>
          <w:rFonts w:ascii="Arial" w:hAnsi="Arial" w:cs="Arial"/>
          <w:sz w:val="20"/>
          <w:szCs w:val="20"/>
        </w:rPr>
        <w:t xml:space="preserve"> </w:t>
      </w:r>
      <w:r w:rsidR="00E52D05">
        <w:rPr>
          <w:rFonts w:ascii="Arial" w:hAnsi="Arial" w:cs="Arial"/>
          <w:sz w:val="20"/>
          <w:szCs w:val="20"/>
        </w:rPr>
        <w:t>channels</w:t>
      </w:r>
      <w:r w:rsidR="00E52D05" w:rsidRPr="006869FB">
        <w:rPr>
          <w:rFonts w:ascii="Arial" w:hAnsi="Arial" w:cs="Arial"/>
          <w:sz w:val="20"/>
          <w:szCs w:val="20"/>
        </w:rPr>
        <w:t xml:space="preserve"> </w:t>
      </w:r>
      <w:r w:rsidRPr="006869FB">
        <w:rPr>
          <w:rFonts w:ascii="Arial" w:hAnsi="Arial" w:cs="Arial"/>
          <w:sz w:val="20"/>
          <w:szCs w:val="20"/>
        </w:rPr>
        <w:t>to maintain coverage between campaigns</w:t>
      </w:r>
      <w:r w:rsidR="005B7C0A" w:rsidRPr="006869FB">
        <w:rPr>
          <w:rFonts w:ascii="Arial" w:hAnsi="Arial" w:cs="Arial"/>
          <w:sz w:val="20"/>
          <w:szCs w:val="20"/>
        </w:rPr>
        <w:t xml:space="preserve"> including </w:t>
      </w:r>
      <w:r w:rsidR="00290878" w:rsidRPr="006869FB">
        <w:rPr>
          <w:rFonts w:ascii="Arial" w:hAnsi="Arial" w:cs="Arial"/>
          <w:sz w:val="20"/>
          <w:szCs w:val="20"/>
        </w:rPr>
        <w:t>school</w:t>
      </w:r>
      <w:r w:rsidR="00E52D05">
        <w:rPr>
          <w:rFonts w:ascii="Arial" w:hAnsi="Arial" w:cs="Arial"/>
          <w:sz w:val="20"/>
          <w:szCs w:val="20"/>
        </w:rPr>
        <w:t>s</w:t>
      </w:r>
      <w:r w:rsidR="00290878" w:rsidRPr="006869FB">
        <w:rPr>
          <w:rFonts w:ascii="Arial" w:hAnsi="Arial" w:cs="Arial"/>
          <w:sz w:val="20"/>
          <w:szCs w:val="20"/>
        </w:rPr>
        <w:t xml:space="preserve">, </w:t>
      </w:r>
      <w:r w:rsidR="00E52D05">
        <w:rPr>
          <w:rFonts w:ascii="Arial" w:hAnsi="Arial" w:cs="Arial"/>
          <w:sz w:val="20"/>
          <w:szCs w:val="20"/>
        </w:rPr>
        <w:t>health facilities (</w:t>
      </w:r>
      <w:r w:rsidRPr="006869FB">
        <w:rPr>
          <w:rFonts w:ascii="Arial" w:hAnsi="Arial" w:cs="Arial"/>
          <w:sz w:val="20"/>
          <w:szCs w:val="20"/>
        </w:rPr>
        <w:t>distribut</w:t>
      </w:r>
      <w:r w:rsidR="005B7C0A" w:rsidRPr="006869FB">
        <w:rPr>
          <w:rFonts w:ascii="Arial" w:hAnsi="Arial" w:cs="Arial"/>
          <w:sz w:val="20"/>
          <w:szCs w:val="20"/>
        </w:rPr>
        <w:t>ion</w:t>
      </w:r>
      <w:r w:rsidRPr="006869FB">
        <w:rPr>
          <w:rFonts w:ascii="Arial" w:hAnsi="Arial" w:cs="Arial"/>
          <w:sz w:val="20"/>
          <w:szCs w:val="20"/>
        </w:rPr>
        <w:t xml:space="preserve"> through ANC on first visit by pregnant women and to infants through routine EPI, usually alongside DPT3 or measles vaccination</w:t>
      </w:r>
      <w:r w:rsidR="00E52D05">
        <w:rPr>
          <w:rFonts w:ascii="Arial" w:hAnsi="Arial" w:cs="Arial"/>
          <w:sz w:val="20"/>
          <w:szCs w:val="20"/>
        </w:rPr>
        <w:t>), communities (through community health workers) and others to ensure ITN access among</w:t>
      </w:r>
      <w:r w:rsidRPr="006869FB">
        <w:rPr>
          <w:rFonts w:ascii="Arial" w:hAnsi="Arial" w:cs="Arial"/>
          <w:sz w:val="20"/>
          <w:szCs w:val="20"/>
        </w:rPr>
        <w:t xml:space="preserve"> </w:t>
      </w:r>
      <w:r w:rsidR="009215F6">
        <w:rPr>
          <w:rFonts w:ascii="Arial" w:hAnsi="Arial" w:cs="Arial"/>
          <w:sz w:val="20"/>
          <w:szCs w:val="20"/>
        </w:rPr>
        <w:t xml:space="preserve">specific </w:t>
      </w:r>
      <w:r w:rsidR="00E52D05">
        <w:rPr>
          <w:rFonts w:ascii="Arial" w:hAnsi="Arial" w:cs="Arial"/>
          <w:sz w:val="20"/>
          <w:szCs w:val="20"/>
        </w:rPr>
        <w:t xml:space="preserve">population </w:t>
      </w:r>
      <w:r w:rsidR="009215F6">
        <w:rPr>
          <w:rFonts w:ascii="Arial" w:hAnsi="Arial" w:cs="Arial"/>
          <w:sz w:val="20"/>
          <w:szCs w:val="20"/>
        </w:rPr>
        <w:t>groups such as IDPs and refugees.</w:t>
      </w:r>
    </w:p>
    <w:p w14:paraId="48111318" w14:textId="3AB8949C" w:rsidR="00F627F7" w:rsidRDefault="00066CD9" w:rsidP="00A6629D">
      <w:pPr>
        <w:pStyle w:val="ListParagraph"/>
        <w:numPr>
          <w:ilvl w:val="0"/>
          <w:numId w:val="16"/>
        </w:numPr>
        <w:spacing w:before="120"/>
        <w:jc w:val="both"/>
        <w:rPr>
          <w:rFonts w:ascii="Arial" w:hAnsi="Arial" w:cs="Arial"/>
          <w:sz w:val="20"/>
          <w:szCs w:val="20"/>
        </w:rPr>
      </w:pPr>
      <w:r w:rsidRPr="00A6629D">
        <w:rPr>
          <w:rFonts w:ascii="Arial" w:hAnsi="Arial" w:cs="Arial"/>
          <w:sz w:val="20"/>
          <w:szCs w:val="20"/>
        </w:rPr>
        <w:t xml:space="preserve">For full scale school distribution (instead of mass campaigns), the annual ITN need can be quantified </w:t>
      </w:r>
      <w:r w:rsidR="007C7A37" w:rsidRPr="00A6629D">
        <w:rPr>
          <w:rFonts w:ascii="Arial" w:hAnsi="Arial" w:cs="Arial"/>
          <w:sz w:val="20"/>
          <w:szCs w:val="20"/>
        </w:rPr>
        <w:t xml:space="preserve">by using 15%-22% of the </w:t>
      </w:r>
      <w:r w:rsidRPr="00A6629D">
        <w:rPr>
          <w:rFonts w:ascii="Arial" w:hAnsi="Arial" w:cs="Arial"/>
          <w:sz w:val="20"/>
          <w:szCs w:val="20"/>
        </w:rPr>
        <w:t>population</w:t>
      </w:r>
      <w:r w:rsidR="007C7A37" w:rsidRPr="00A6629D">
        <w:rPr>
          <w:rFonts w:ascii="Arial" w:hAnsi="Arial" w:cs="Arial"/>
          <w:sz w:val="20"/>
          <w:szCs w:val="20"/>
        </w:rPr>
        <w:t xml:space="preserve"> (</w:t>
      </w:r>
      <w:r w:rsidRPr="00A6629D">
        <w:rPr>
          <w:rFonts w:ascii="Arial" w:hAnsi="Arial" w:cs="Arial"/>
          <w:sz w:val="20"/>
          <w:szCs w:val="20"/>
        </w:rPr>
        <w:t>with more detailed recommendations for specific countries available </w:t>
      </w:r>
      <w:hyperlink r:id="rId8" w:tooltip="Original URL: https://htmlpreview.github.io/?https://github.com/hkoenker/Quantification/blob/master/output/Scenario_2_and_3_Quantifiers_Table_Full_Version.html  Click to follow link." w:history="1">
        <w:r w:rsidRPr="00C7132D">
          <w:rPr>
            <w:rFonts w:ascii="Arial" w:hAnsi="Arial" w:cs="Arial"/>
            <w:color w:val="0070C0"/>
            <w:sz w:val="20"/>
            <w:szCs w:val="20"/>
          </w:rPr>
          <w:t>here</w:t>
        </w:r>
      </w:hyperlink>
      <w:r w:rsidRPr="00C7132D">
        <w:rPr>
          <w:rFonts w:ascii="Arial" w:hAnsi="Arial" w:cs="Arial"/>
          <w:color w:val="0070C0"/>
          <w:sz w:val="20"/>
          <w:szCs w:val="20"/>
        </w:rPr>
        <w:t> </w:t>
      </w:r>
      <w:r w:rsidRPr="00A6629D">
        <w:rPr>
          <w:rFonts w:ascii="Arial" w:hAnsi="Arial" w:cs="Arial"/>
          <w:sz w:val="20"/>
          <w:szCs w:val="20"/>
        </w:rPr>
        <w:t>in the Scenario 2 section</w:t>
      </w:r>
      <w:r w:rsidR="00242529" w:rsidRPr="00A6629D">
        <w:rPr>
          <w:rFonts w:ascii="Arial" w:hAnsi="Arial" w:cs="Arial"/>
          <w:sz w:val="20"/>
          <w:szCs w:val="20"/>
        </w:rPr>
        <w:t>)</w:t>
      </w:r>
      <w:r w:rsidR="00242F49" w:rsidRPr="00A6629D">
        <w:rPr>
          <w:rFonts w:ascii="Arial" w:hAnsi="Arial" w:cs="Arial"/>
          <w:sz w:val="20"/>
          <w:szCs w:val="20"/>
        </w:rPr>
        <w:t xml:space="preserve">. </w:t>
      </w:r>
      <w:r w:rsidRPr="00A6629D">
        <w:rPr>
          <w:rFonts w:ascii="Arial" w:hAnsi="Arial" w:cs="Arial"/>
          <w:sz w:val="20"/>
          <w:szCs w:val="20"/>
        </w:rPr>
        <w:t xml:space="preserve">For school distribution between campaigns, quantification recommendations are available </w:t>
      </w:r>
      <w:r w:rsidRPr="00C7132D">
        <w:rPr>
          <w:rFonts w:ascii="Arial" w:hAnsi="Arial" w:cs="Arial"/>
          <w:color w:val="0070C0"/>
          <w:sz w:val="20"/>
          <w:szCs w:val="20"/>
        </w:rPr>
        <w:t>at the </w:t>
      </w:r>
      <w:hyperlink r:id="rId9" w:tooltip="Original URL: https://htmlpreview.github.io/?https://github.com/hkoenker/Quantification/blob/master/output/Scenario_2_and_3_Quantifiers_Table_Full_Version.html  Click to follow link." w:history="1">
        <w:r w:rsidRPr="00C7132D">
          <w:rPr>
            <w:rFonts w:ascii="Arial" w:hAnsi="Arial" w:cs="Arial"/>
            <w:color w:val="0070C0"/>
            <w:sz w:val="20"/>
            <w:szCs w:val="20"/>
          </w:rPr>
          <w:t>same link above</w:t>
        </w:r>
      </w:hyperlink>
      <w:r w:rsidRPr="00A6629D">
        <w:rPr>
          <w:rFonts w:ascii="Arial" w:hAnsi="Arial" w:cs="Arial"/>
          <w:sz w:val="20"/>
          <w:szCs w:val="20"/>
        </w:rPr>
        <w:t>, in the Scenario 3 section.</w:t>
      </w:r>
      <w:r w:rsidR="00C75361" w:rsidRPr="00A6629D">
        <w:rPr>
          <w:rFonts w:ascii="Arial" w:hAnsi="Arial" w:cs="Arial"/>
          <w:sz w:val="20"/>
          <w:szCs w:val="20"/>
        </w:rPr>
        <w:t xml:space="preserve"> </w:t>
      </w:r>
      <w:r w:rsidRPr="00A6629D">
        <w:rPr>
          <w:rFonts w:ascii="Arial" w:hAnsi="Arial" w:cs="Arial"/>
          <w:sz w:val="20"/>
          <w:szCs w:val="20"/>
        </w:rPr>
        <w:t>The resulting number of ITNs should then be compared to the primary-school population and numbers of enrolled students in the various grades, using enrollment data from the Ministry of Education. Select the number of grades that best matches the numbers of ITNs to be distributed in schools. As enrollment rates can vary throughout the country, it’s possible that some regions may need to use more grades to deliver the ITNs than other regions.</w:t>
      </w:r>
      <w:r w:rsidR="00242F49" w:rsidRPr="00A6629D">
        <w:rPr>
          <w:rFonts w:ascii="Arial" w:hAnsi="Arial" w:cs="Arial"/>
          <w:sz w:val="20"/>
          <w:szCs w:val="20"/>
        </w:rPr>
        <w:t xml:space="preserve"> </w:t>
      </w:r>
      <w:r w:rsidRPr="00A6629D">
        <w:rPr>
          <w:rFonts w:ascii="Arial" w:hAnsi="Arial" w:cs="Arial"/>
          <w:sz w:val="20"/>
          <w:szCs w:val="20"/>
        </w:rPr>
        <w:t>If up-to-date enrollment information is not available in time for the planning process, the previous year’s enrollment data can be used as a best estimate. In this case, a small (~2%, or calculated based on fluctuations in enrol</w:t>
      </w:r>
      <w:r w:rsidR="00D824DF">
        <w:rPr>
          <w:rFonts w:ascii="Arial" w:hAnsi="Arial" w:cs="Arial"/>
          <w:sz w:val="20"/>
          <w:szCs w:val="20"/>
        </w:rPr>
        <w:t>l</w:t>
      </w:r>
      <w:r w:rsidRPr="00A6629D">
        <w:rPr>
          <w:rFonts w:ascii="Arial" w:hAnsi="Arial" w:cs="Arial"/>
          <w:sz w:val="20"/>
          <w:szCs w:val="20"/>
        </w:rPr>
        <w:t>ment in previous years) buffer stock of ITNs can be delivered to each school to ensure all pupils in targeted grades receive an ITN.</w:t>
      </w:r>
      <w:r w:rsidR="009979D8" w:rsidRPr="00A6629D">
        <w:rPr>
          <w:rFonts w:ascii="Arial" w:hAnsi="Arial" w:cs="Arial"/>
          <w:sz w:val="20"/>
          <w:szCs w:val="20"/>
        </w:rPr>
        <w:t xml:space="preserve"> </w:t>
      </w:r>
    </w:p>
    <w:p w14:paraId="7CB9DF9E" w14:textId="4CC09E81" w:rsidR="00306124" w:rsidRPr="00C7132D" w:rsidRDefault="00306124" w:rsidP="00C7132D">
      <w:pPr>
        <w:spacing w:before="120"/>
        <w:ind w:left="720"/>
        <w:jc w:val="both"/>
        <w:rPr>
          <w:rFonts w:ascii="Arial" w:hAnsi="Arial" w:cs="Arial"/>
          <w:sz w:val="20"/>
          <w:szCs w:val="20"/>
        </w:rPr>
      </w:pPr>
      <w:r>
        <w:rPr>
          <w:rFonts w:ascii="Arial" w:hAnsi="Arial" w:cs="Arial"/>
          <w:sz w:val="20"/>
          <w:szCs w:val="20"/>
        </w:rPr>
        <w:t xml:space="preserve">Note: Ensure that all assumptions for school-based distribution </w:t>
      </w:r>
      <w:r w:rsidR="00C7132D">
        <w:rPr>
          <w:rFonts w:ascii="Arial" w:hAnsi="Arial" w:cs="Arial"/>
          <w:sz w:val="20"/>
          <w:szCs w:val="20"/>
        </w:rPr>
        <w:t>are well</w:t>
      </w:r>
      <w:r>
        <w:rPr>
          <w:rFonts w:ascii="Arial" w:hAnsi="Arial" w:cs="Arial"/>
          <w:sz w:val="20"/>
          <w:szCs w:val="20"/>
        </w:rPr>
        <w:t xml:space="preserve">-described in the </w:t>
      </w:r>
      <w:r w:rsidR="00C7132D">
        <w:rPr>
          <w:rFonts w:ascii="Arial" w:hAnsi="Arial" w:cs="Arial"/>
          <w:sz w:val="20"/>
          <w:szCs w:val="20"/>
        </w:rPr>
        <w:t>gap analysis table assumption section,</w:t>
      </w:r>
      <w:r>
        <w:rPr>
          <w:rFonts w:ascii="Arial" w:hAnsi="Arial" w:cs="Arial"/>
          <w:sz w:val="20"/>
          <w:szCs w:val="20"/>
        </w:rPr>
        <w:t xml:space="preserve"> including choice of grades, </w:t>
      </w:r>
      <w:proofErr w:type="gramStart"/>
      <w:r>
        <w:rPr>
          <w:rFonts w:ascii="Arial" w:hAnsi="Arial" w:cs="Arial"/>
          <w:sz w:val="20"/>
          <w:szCs w:val="20"/>
        </w:rPr>
        <w:t>frequency</w:t>
      </w:r>
      <w:proofErr w:type="gramEnd"/>
      <w:r>
        <w:rPr>
          <w:rFonts w:ascii="Arial" w:hAnsi="Arial" w:cs="Arial"/>
          <w:sz w:val="20"/>
          <w:szCs w:val="20"/>
        </w:rPr>
        <w:t xml:space="preserve"> and type of ITN. </w:t>
      </w:r>
    </w:p>
    <w:p w14:paraId="45BCB5A4" w14:textId="0335F216" w:rsidR="00D824DF" w:rsidRDefault="009979D8" w:rsidP="009979D8">
      <w:pPr>
        <w:pStyle w:val="ListParagraph"/>
        <w:numPr>
          <w:ilvl w:val="0"/>
          <w:numId w:val="16"/>
        </w:numPr>
        <w:spacing w:before="120"/>
        <w:jc w:val="both"/>
        <w:rPr>
          <w:rFonts w:ascii="Arial" w:hAnsi="Arial" w:cs="Arial"/>
          <w:sz w:val="20"/>
          <w:szCs w:val="20"/>
        </w:rPr>
      </w:pPr>
      <w:r w:rsidRPr="00A6629D">
        <w:rPr>
          <w:rFonts w:ascii="Arial" w:hAnsi="Arial" w:cs="Arial"/>
          <w:sz w:val="20"/>
          <w:szCs w:val="20"/>
        </w:rPr>
        <w:lastRenderedPageBreak/>
        <w:t>If the country is using other channels such as community-based distribution, the total annual continuous distribution ITN need (through any non-ANC/EPI channel) can also be quantified by using 15%-22% of the population (with more detailed recommendations for specific countries available </w:t>
      </w:r>
      <w:hyperlink r:id="rId10" w:tooltip="Original URL: https://htmlpreview.github.io/?https://github.com/hkoenker/Quantification/blob/master/output/Scenario_2_and_3_Quantifiers_Table_Full_Version.html  Click to follow link." w:history="1">
        <w:r w:rsidRPr="00C7132D">
          <w:rPr>
            <w:rFonts w:ascii="Arial" w:hAnsi="Arial" w:cs="Arial"/>
            <w:color w:val="0070C0"/>
            <w:sz w:val="20"/>
            <w:szCs w:val="20"/>
          </w:rPr>
          <w:t>here</w:t>
        </w:r>
      </w:hyperlink>
      <w:r w:rsidRPr="00C7132D">
        <w:rPr>
          <w:rFonts w:ascii="Arial" w:hAnsi="Arial" w:cs="Arial"/>
          <w:color w:val="0070C0"/>
          <w:sz w:val="20"/>
          <w:szCs w:val="20"/>
        </w:rPr>
        <w:t> </w:t>
      </w:r>
      <w:r w:rsidRPr="00A6629D">
        <w:rPr>
          <w:rFonts w:ascii="Arial" w:hAnsi="Arial" w:cs="Arial"/>
          <w:sz w:val="20"/>
          <w:szCs w:val="20"/>
        </w:rPr>
        <w:t>in the Scenario 2 section). For community distribution between campaigns, quantification recommendations are available at the</w:t>
      </w:r>
      <w:r w:rsidRPr="00C7132D">
        <w:rPr>
          <w:rFonts w:ascii="Arial" w:hAnsi="Arial" w:cs="Arial"/>
          <w:color w:val="0070C0"/>
          <w:sz w:val="20"/>
          <w:szCs w:val="20"/>
        </w:rPr>
        <w:t> </w:t>
      </w:r>
      <w:hyperlink r:id="rId11" w:tooltip="Original URL: https://htmlpreview.github.io/?https://github.com/hkoenker/Quantification/blob/master/output/Scenario_2_and_3_Quantifiers_Table_Full_Version.html  Click to follow link." w:history="1">
        <w:r w:rsidRPr="00C7132D">
          <w:rPr>
            <w:rFonts w:ascii="Arial" w:hAnsi="Arial" w:cs="Arial"/>
            <w:color w:val="0070C0"/>
            <w:sz w:val="20"/>
            <w:szCs w:val="20"/>
          </w:rPr>
          <w:t>same link above</w:t>
        </w:r>
      </w:hyperlink>
      <w:r w:rsidRPr="00A6629D">
        <w:rPr>
          <w:rFonts w:ascii="Arial" w:hAnsi="Arial" w:cs="Arial"/>
          <w:sz w:val="20"/>
          <w:szCs w:val="20"/>
        </w:rPr>
        <w:t xml:space="preserve">, in the Scenario 3 section. If implementing school and community channels in the same location, quantify only once, i.e. multiply the population by 22% and divide the nets among the channels. </w:t>
      </w:r>
    </w:p>
    <w:p w14:paraId="2554018A" w14:textId="77777777" w:rsidR="00306124" w:rsidRDefault="00306124" w:rsidP="00306124">
      <w:pPr>
        <w:pStyle w:val="ListParagraph"/>
        <w:spacing w:before="120"/>
        <w:jc w:val="both"/>
        <w:rPr>
          <w:rFonts w:ascii="Arial" w:hAnsi="Arial" w:cs="Arial"/>
          <w:sz w:val="20"/>
          <w:szCs w:val="20"/>
        </w:rPr>
      </w:pPr>
    </w:p>
    <w:p w14:paraId="4794DB88" w14:textId="18F5B364" w:rsidR="00306124" w:rsidRDefault="00306124" w:rsidP="00306124">
      <w:pPr>
        <w:pStyle w:val="ListParagraph"/>
        <w:spacing w:before="120"/>
        <w:jc w:val="both"/>
        <w:rPr>
          <w:rFonts w:ascii="Arial" w:hAnsi="Arial" w:cs="Arial"/>
          <w:sz w:val="20"/>
          <w:szCs w:val="20"/>
        </w:rPr>
      </w:pPr>
      <w:r w:rsidRPr="00306124">
        <w:rPr>
          <w:rFonts w:ascii="Arial" w:hAnsi="Arial" w:cs="Arial"/>
          <w:sz w:val="20"/>
          <w:szCs w:val="20"/>
        </w:rPr>
        <w:t xml:space="preserve">Note: Ensure that all assumptions for </w:t>
      </w:r>
      <w:r>
        <w:rPr>
          <w:rFonts w:ascii="Arial" w:hAnsi="Arial" w:cs="Arial"/>
          <w:sz w:val="20"/>
          <w:szCs w:val="20"/>
        </w:rPr>
        <w:t>community</w:t>
      </w:r>
      <w:r w:rsidRPr="00306124">
        <w:rPr>
          <w:rFonts w:ascii="Arial" w:hAnsi="Arial" w:cs="Arial"/>
          <w:sz w:val="20"/>
          <w:szCs w:val="20"/>
        </w:rPr>
        <w:t xml:space="preserve">-based </w:t>
      </w:r>
      <w:r w:rsidR="00C7132D">
        <w:rPr>
          <w:rFonts w:ascii="Arial" w:hAnsi="Arial" w:cs="Arial"/>
          <w:sz w:val="20"/>
          <w:szCs w:val="20"/>
        </w:rPr>
        <w:t>are well-described in the gap analysis table assumption section</w:t>
      </w:r>
      <w:r w:rsidRPr="00306124">
        <w:rPr>
          <w:rFonts w:ascii="Arial" w:hAnsi="Arial" w:cs="Arial"/>
          <w:sz w:val="20"/>
          <w:szCs w:val="20"/>
        </w:rPr>
        <w:t xml:space="preserve">, including </w:t>
      </w:r>
      <w:r>
        <w:rPr>
          <w:rFonts w:ascii="Arial" w:hAnsi="Arial" w:cs="Arial"/>
          <w:sz w:val="20"/>
          <w:szCs w:val="20"/>
        </w:rPr>
        <w:t>who will ensure distribution</w:t>
      </w:r>
      <w:r w:rsidRPr="00306124">
        <w:rPr>
          <w:rFonts w:ascii="Arial" w:hAnsi="Arial" w:cs="Arial"/>
          <w:sz w:val="20"/>
          <w:szCs w:val="20"/>
        </w:rPr>
        <w:t xml:space="preserve">, </w:t>
      </w:r>
      <w:proofErr w:type="gramStart"/>
      <w:r w:rsidRPr="00306124">
        <w:rPr>
          <w:rFonts w:ascii="Arial" w:hAnsi="Arial" w:cs="Arial"/>
          <w:sz w:val="20"/>
          <w:szCs w:val="20"/>
        </w:rPr>
        <w:t>frequency</w:t>
      </w:r>
      <w:proofErr w:type="gramEnd"/>
      <w:r w:rsidRPr="00306124">
        <w:rPr>
          <w:rFonts w:ascii="Arial" w:hAnsi="Arial" w:cs="Arial"/>
          <w:sz w:val="20"/>
          <w:szCs w:val="20"/>
        </w:rPr>
        <w:t xml:space="preserve"> and type of ITN. </w:t>
      </w:r>
    </w:p>
    <w:p w14:paraId="7B7094A0" w14:textId="77777777" w:rsidR="00306124" w:rsidRPr="00C7132D" w:rsidRDefault="00306124" w:rsidP="00C7132D">
      <w:pPr>
        <w:pStyle w:val="ListParagraph"/>
        <w:spacing w:before="120"/>
        <w:jc w:val="both"/>
        <w:rPr>
          <w:rFonts w:ascii="Arial" w:hAnsi="Arial" w:cs="Arial"/>
          <w:sz w:val="20"/>
          <w:szCs w:val="20"/>
        </w:rPr>
      </w:pPr>
    </w:p>
    <w:p w14:paraId="5C3A11BB" w14:textId="5480A920" w:rsidR="009979D8" w:rsidRPr="00D824DF" w:rsidRDefault="009979D8" w:rsidP="00C7132D">
      <w:pPr>
        <w:pStyle w:val="ListParagraph"/>
        <w:numPr>
          <w:ilvl w:val="0"/>
          <w:numId w:val="16"/>
        </w:numPr>
        <w:spacing w:before="120"/>
        <w:jc w:val="both"/>
        <w:rPr>
          <w:rFonts w:eastAsiaTheme="minorHAnsi"/>
        </w:rPr>
      </w:pPr>
      <w:r w:rsidRPr="00A6629D">
        <w:rPr>
          <w:rFonts w:ascii="Arial" w:hAnsi="Arial" w:cs="Arial"/>
          <w:sz w:val="20"/>
          <w:szCs w:val="20"/>
        </w:rPr>
        <w:t xml:space="preserve">If proposing specific channels for targeting of IDPs and refugees, these should also be included and quantified in the gap analysis and the CRSPC can provide guidance if necessary. </w:t>
      </w:r>
    </w:p>
    <w:p w14:paraId="4170E4D6" w14:textId="577AB1C1" w:rsidR="004206B4" w:rsidRPr="006869FB" w:rsidRDefault="00693AD1" w:rsidP="00A6629D">
      <w:pPr>
        <w:pStyle w:val="ListParagraph"/>
        <w:numPr>
          <w:ilvl w:val="0"/>
          <w:numId w:val="12"/>
        </w:numPr>
        <w:spacing w:before="120"/>
        <w:jc w:val="both"/>
        <w:rPr>
          <w:rFonts w:ascii="Arial" w:hAnsi="Arial" w:cs="Arial"/>
          <w:sz w:val="20"/>
          <w:szCs w:val="20"/>
        </w:rPr>
      </w:pPr>
      <w:r w:rsidRPr="006869FB">
        <w:rPr>
          <w:rFonts w:ascii="Arial" w:hAnsi="Arial" w:cs="Arial"/>
          <w:sz w:val="20"/>
          <w:szCs w:val="20"/>
        </w:rPr>
        <w:t>To calculate the number of nets required through ANC, multiply the population living in malaria endemic areas by the</w:t>
      </w:r>
      <w:r w:rsidR="00095E15" w:rsidRPr="006869FB">
        <w:rPr>
          <w:rFonts w:ascii="Arial" w:hAnsi="Arial" w:cs="Arial"/>
          <w:sz w:val="20"/>
          <w:szCs w:val="20"/>
        </w:rPr>
        <w:t xml:space="preserve"> percentage </w:t>
      </w:r>
      <w:r w:rsidRPr="006869FB">
        <w:rPr>
          <w:rFonts w:ascii="Arial" w:hAnsi="Arial" w:cs="Arial"/>
          <w:sz w:val="20"/>
          <w:szCs w:val="20"/>
        </w:rPr>
        <w:t xml:space="preserve">of pregnant women in the population (this is usually around 4-5%). </w:t>
      </w:r>
      <w:r w:rsidR="006A6518" w:rsidRPr="006869FB">
        <w:rPr>
          <w:rFonts w:ascii="Arial" w:hAnsi="Arial" w:cs="Arial"/>
          <w:sz w:val="20"/>
          <w:szCs w:val="20"/>
        </w:rPr>
        <w:t>F</w:t>
      </w:r>
      <w:r w:rsidRPr="006869FB">
        <w:rPr>
          <w:rFonts w:ascii="Arial" w:hAnsi="Arial" w:cs="Arial"/>
          <w:sz w:val="20"/>
          <w:szCs w:val="20"/>
        </w:rPr>
        <w:t xml:space="preserve">actor in current ANC coverage, </w:t>
      </w:r>
      <w:r w:rsidR="000E4D49">
        <w:rPr>
          <w:rFonts w:ascii="Arial" w:hAnsi="Arial" w:cs="Arial"/>
          <w:sz w:val="20"/>
          <w:szCs w:val="20"/>
        </w:rPr>
        <w:t>with</w:t>
      </w:r>
      <w:r w:rsidR="006D50DC">
        <w:rPr>
          <w:rFonts w:ascii="Arial" w:hAnsi="Arial" w:cs="Arial"/>
          <w:sz w:val="20"/>
          <w:szCs w:val="20"/>
        </w:rPr>
        <w:t xml:space="preserve"> i</w:t>
      </w:r>
      <w:r w:rsidRPr="006869FB">
        <w:rPr>
          <w:rFonts w:ascii="Arial" w:hAnsi="Arial" w:cs="Arial"/>
          <w:sz w:val="20"/>
          <w:szCs w:val="20"/>
        </w:rPr>
        <w:t>ncrease</w:t>
      </w:r>
      <w:r w:rsidR="000E4D49">
        <w:rPr>
          <w:rFonts w:ascii="Arial" w:hAnsi="Arial" w:cs="Arial"/>
          <w:sz w:val="20"/>
          <w:szCs w:val="20"/>
        </w:rPr>
        <w:t>s</w:t>
      </w:r>
      <w:r w:rsidRPr="006869FB">
        <w:rPr>
          <w:rFonts w:ascii="Arial" w:hAnsi="Arial" w:cs="Arial"/>
          <w:sz w:val="20"/>
          <w:szCs w:val="20"/>
        </w:rPr>
        <w:t xml:space="preserve"> over time based on </w:t>
      </w:r>
      <w:r w:rsidR="00F00CFF" w:rsidRPr="006869FB">
        <w:rPr>
          <w:rFonts w:ascii="Arial" w:hAnsi="Arial" w:cs="Arial"/>
          <w:sz w:val="20"/>
          <w:szCs w:val="20"/>
        </w:rPr>
        <w:t>planned improvements in access to care</w:t>
      </w:r>
      <w:r w:rsidR="005274A9" w:rsidRPr="006869FB">
        <w:rPr>
          <w:rFonts w:ascii="Arial" w:hAnsi="Arial" w:cs="Arial"/>
          <w:sz w:val="20"/>
          <w:szCs w:val="20"/>
        </w:rPr>
        <w:t>, as well as population increases</w:t>
      </w:r>
      <w:r w:rsidRPr="006869FB">
        <w:rPr>
          <w:rFonts w:ascii="Arial" w:hAnsi="Arial" w:cs="Arial"/>
          <w:sz w:val="20"/>
          <w:szCs w:val="20"/>
        </w:rPr>
        <w:t xml:space="preserve">.  </w:t>
      </w:r>
    </w:p>
    <w:p w14:paraId="519061C0" w14:textId="02051E91" w:rsidR="004206B4" w:rsidRPr="006869FB" w:rsidRDefault="006C0B72" w:rsidP="00A6629D">
      <w:pPr>
        <w:pStyle w:val="ListParagraph"/>
        <w:numPr>
          <w:ilvl w:val="0"/>
          <w:numId w:val="12"/>
        </w:numPr>
        <w:spacing w:before="120"/>
        <w:jc w:val="both"/>
        <w:rPr>
          <w:rFonts w:ascii="Arial" w:hAnsi="Arial" w:cs="Arial"/>
          <w:sz w:val="20"/>
          <w:szCs w:val="20"/>
        </w:rPr>
      </w:pPr>
      <w:r w:rsidRPr="006869FB">
        <w:rPr>
          <w:rFonts w:ascii="Arial" w:hAnsi="Arial" w:cs="Arial"/>
          <w:sz w:val="20"/>
          <w:szCs w:val="20"/>
        </w:rPr>
        <w:t>T</w:t>
      </w:r>
      <w:r w:rsidR="00693AD1" w:rsidRPr="006869FB">
        <w:rPr>
          <w:rFonts w:ascii="Arial" w:hAnsi="Arial" w:cs="Arial"/>
          <w:sz w:val="20"/>
          <w:szCs w:val="20"/>
        </w:rPr>
        <w:t xml:space="preserve">o calculate the number of nets required through EPI, multiply the population in malaria endemic areas by the </w:t>
      </w:r>
      <w:r w:rsidR="00095E15" w:rsidRPr="006869FB">
        <w:rPr>
          <w:rFonts w:ascii="Arial" w:hAnsi="Arial" w:cs="Arial"/>
          <w:sz w:val="20"/>
          <w:szCs w:val="20"/>
        </w:rPr>
        <w:t xml:space="preserve">percentage </w:t>
      </w:r>
      <w:r w:rsidR="00693AD1" w:rsidRPr="006869FB">
        <w:rPr>
          <w:rFonts w:ascii="Arial" w:hAnsi="Arial" w:cs="Arial"/>
          <w:sz w:val="20"/>
          <w:szCs w:val="20"/>
        </w:rPr>
        <w:t xml:space="preserve">of children under 1 (this is usually around 4%). </w:t>
      </w:r>
      <w:r w:rsidR="006A6518" w:rsidRPr="006869FB">
        <w:rPr>
          <w:rFonts w:ascii="Arial" w:hAnsi="Arial" w:cs="Arial"/>
          <w:sz w:val="20"/>
          <w:szCs w:val="20"/>
        </w:rPr>
        <w:t>F</w:t>
      </w:r>
      <w:r w:rsidR="00693AD1" w:rsidRPr="006869FB">
        <w:rPr>
          <w:rFonts w:ascii="Arial" w:hAnsi="Arial" w:cs="Arial"/>
          <w:sz w:val="20"/>
          <w:szCs w:val="20"/>
        </w:rPr>
        <w:t xml:space="preserve">actor in current EPI coverage, with increases over time based on </w:t>
      </w:r>
      <w:r w:rsidR="00F00CFF" w:rsidRPr="006869FB">
        <w:rPr>
          <w:rFonts w:ascii="Arial" w:hAnsi="Arial" w:cs="Arial"/>
          <w:sz w:val="20"/>
          <w:szCs w:val="20"/>
        </w:rPr>
        <w:t>planned improvements in access to care</w:t>
      </w:r>
      <w:r w:rsidR="00B379F2">
        <w:rPr>
          <w:rFonts w:ascii="Arial" w:hAnsi="Arial" w:cs="Arial"/>
          <w:sz w:val="20"/>
          <w:szCs w:val="20"/>
        </w:rPr>
        <w:t xml:space="preserve"> and population increases</w:t>
      </w:r>
      <w:r w:rsidR="00693AD1" w:rsidRPr="006869FB">
        <w:rPr>
          <w:rFonts w:ascii="Arial" w:hAnsi="Arial" w:cs="Arial"/>
          <w:sz w:val="20"/>
          <w:szCs w:val="20"/>
        </w:rPr>
        <w:t xml:space="preserve">. </w:t>
      </w:r>
      <w:r w:rsidR="00827FD2" w:rsidRPr="006869FB">
        <w:rPr>
          <w:rFonts w:ascii="Arial" w:hAnsi="Arial" w:cs="Arial"/>
          <w:sz w:val="20"/>
          <w:szCs w:val="20"/>
        </w:rPr>
        <w:t>If you are targeting children under five years of age through child health clinics instead</w:t>
      </w:r>
      <w:r w:rsidR="000E4D49">
        <w:rPr>
          <w:rFonts w:ascii="Arial" w:hAnsi="Arial" w:cs="Arial"/>
          <w:sz w:val="20"/>
          <w:szCs w:val="20"/>
        </w:rPr>
        <w:t xml:space="preserve"> of children under 1 through EPI</w:t>
      </w:r>
      <w:r w:rsidR="00827FD2" w:rsidRPr="006869FB">
        <w:rPr>
          <w:rFonts w:ascii="Arial" w:hAnsi="Arial" w:cs="Arial"/>
          <w:sz w:val="20"/>
          <w:szCs w:val="20"/>
        </w:rPr>
        <w:t>, modify as appropriate</w:t>
      </w:r>
      <w:r w:rsidR="00F00CFF" w:rsidRPr="006869FB">
        <w:rPr>
          <w:rFonts w:ascii="Arial" w:hAnsi="Arial" w:cs="Arial"/>
          <w:sz w:val="20"/>
          <w:szCs w:val="20"/>
        </w:rPr>
        <w:t>.</w:t>
      </w:r>
      <w:r w:rsidR="004206B4" w:rsidRPr="006869FB">
        <w:rPr>
          <w:rFonts w:ascii="Arial" w:hAnsi="Arial" w:cs="Arial"/>
          <w:sz w:val="20"/>
          <w:szCs w:val="20"/>
        </w:rPr>
        <w:t xml:space="preserve"> </w:t>
      </w:r>
    </w:p>
    <w:p w14:paraId="23B9B188" w14:textId="6235775A" w:rsidR="0083524E" w:rsidRPr="000E4D49" w:rsidRDefault="004206B4" w:rsidP="00A6629D">
      <w:pPr>
        <w:pStyle w:val="ListParagraph"/>
        <w:numPr>
          <w:ilvl w:val="0"/>
          <w:numId w:val="12"/>
        </w:numPr>
        <w:spacing w:before="120"/>
        <w:jc w:val="both"/>
      </w:pPr>
      <w:r w:rsidRPr="006869FB">
        <w:rPr>
          <w:rFonts w:ascii="Arial" w:hAnsi="Arial" w:cs="Arial"/>
          <w:sz w:val="20"/>
          <w:szCs w:val="20"/>
        </w:rPr>
        <w:t>Addin</w:t>
      </w:r>
      <w:r w:rsidR="00693AD1" w:rsidRPr="006869FB">
        <w:rPr>
          <w:rFonts w:ascii="Arial" w:hAnsi="Arial" w:cs="Arial"/>
          <w:sz w:val="20"/>
          <w:szCs w:val="20"/>
        </w:rPr>
        <w:t xml:space="preserve">g </w:t>
      </w:r>
      <w:r w:rsidR="007C67FD">
        <w:rPr>
          <w:rFonts w:ascii="Arial" w:hAnsi="Arial" w:cs="Arial"/>
          <w:sz w:val="20"/>
          <w:szCs w:val="20"/>
        </w:rPr>
        <w:t xml:space="preserve">the ITNs needed </w:t>
      </w:r>
      <w:r w:rsidRPr="006869FB">
        <w:rPr>
          <w:rFonts w:ascii="Arial" w:hAnsi="Arial" w:cs="Arial"/>
          <w:sz w:val="20"/>
          <w:szCs w:val="20"/>
        </w:rPr>
        <w:t>for EPI and ANC, and where applicable</w:t>
      </w:r>
      <w:r w:rsidR="00E83B0F" w:rsidRPr="006869FB">
        <w:rPr>
          <w:rFonts w:ascii="Arial" w:hAnsi="Arial" w:cs="Arial"/>
          <w:sz w:val="20"/>
          <w:szCs w:val="20"/>
        </w:rPr>
        <w:t>,</w:t>
      </w:r>
      <w:r w:rsidRPr="006869FB">
        <w:rPr>
          <w:rFonts w:ascii="Arial" w:hAnsi="Arial" w:cs="Arial"/>
          <w:sz w:val="20"/>
          <w:szCs w:val="20"/>
        </w:rPr>
        <w:t xml:space="preserve"> for </w:t>
      </w:r>
      <w:r w:rsidR="005F2972" w:rsidRPr="006869FB">
        <w:rPr>
          <w:rFonts w:ascii="Arial" w:hAnsi="Arial" w:cs="Arial"/>
          <w:sz w:val="20"/>
          <w:szCs w:val="20"/>
        </w:rPr>
        <w:t>school-based</w:t>
      </w:r>
      <w:r w:rsidRPr="006869FB">
        <w:rPr>
          <w:rFonts w:ascii="Arial" w:hAnsi="Arial" w:cs="Arial"/>
          <w:sz w:val="20"/>
          <w:szCs w:val="20"/>
        </w:rPr>
        <w:t xml:space="preserve"> distribution, </w:t>
      </w:r>
      <w:r w:rsidR="00D54867" w:rsidRPr="006869FB">
        <w:rPr>
          <w:rFonts w:ascii="Arial" w:hAnsi="Arial" w:cs="Arial"/>
          <w:sz w:val="20"/>
          <w:szCs w:val="20"/>
        </w:rPr>
        <w:t>community-based</w:t>
      </w:r>
      <w:r w:rsidRPr="006869FB">
        <w:rPr>
          <w:rFonts w:ascii="Arial" w:hAnsi="Arial" w:cs="Arial"/>
          <w:sz w:val="20"/>
          <w:szCs w:val="20"/>
        </w:rPr>
        <w:t xml:space="preserve"> </w:t>
      </w:r>
      <w:proofErr w:type="gramStart"/>
      <w:r w:rsidRPr="006869FB">
        <w:rPr>
          <w:rFonts w:ascii="Arial" w:hAnsi="Arial" w:cs="Arial"/>
          <w:sz w:val="20"/>
          <w:szCs w:val="20"/>
        </w:rPr>
        <w:t>distribution</w:t>
      </w:r>
      <w:proofErr w:type="gramEnd"/>
      <w:r w:rsidRPr="006869FB">
        <w:rPr>
          <w:rFonts w:ascii="Arial" w:hAnsi="Arial" w:cs="Arial"/>
          <w:sz w:val="20"/>
          <w:szCs w:val="20"/>
        </w:rPr>
        <w:t xml:space="preserve"> or </w:t>
      </w:r>
      <w:r w:rsidR="000E4D49">
        <w:rPr>
          <w:rFonts w:ascii="Arial" w:hAnsi="Arial" w:cs="Arial"/>
          <w:sz w:val="20"/>
          <w:szCs w:val="20"/>
        </w:rPr>
        <w:t xml:space="preserve">channels to reach </w:t>
      </w:r>
      <w:r w:rsidRPr="006869FB">
        <w:rPr>
          <w:rFonts w:ascii="Arial" w:hAnsi="Arial" w:cs="Arial"/>
          <w:sz w:val="20"/>
          <w:szCs w:val="20"/>
        </w:rPr>
        <w:t>IDPs</w:t>
      </w:r>
      <w:r w:rsidR="000E4D49">
        <w:rPr>
          <w:rFonts w:ascii="Arial" w:hAnsi="Arial" w:cs="Arial"/>
          <w:sz w:val="20"/>
          <w:szCs w:val="20"/>
        </w:rPr>
        <w:t>,</w:t>
      </w:r>
      <w:r w:rsidRPr="006869FB">
        <w:rPr>
          <w:rFonts w:ascii="Arial" w:hAnsi="Arial" w:cs="Arial"/>
          <w:sz w:val="20"/>
          <w:szCs w:val="20"/>
        </w:rPr>
        <w:t xml:space="preserve"> refugees </w:t>
      </w:r>
      <w:r w:rsidR="005A39CA" w:rsidRPr="006869FB">
        <w:rPr>
          <w:rFonts w:ascii="Arial" w:hAnsi="Arial" w:cs="Arial"/>
          <w:sz w:val="20"/>
          <w:szCs w:val="20"/>
        </w:rPr>
        <w:t>etc.</w:t>
      </w:r>
      <w:r w:rsidRPr="006869FB">
        <w:rPr>
          <w:rFonts w:ascii="Arial" w:hAnsi="Arial" w:cs="Arial"/>
          <w:sz w:val="20"/>
          <w:szCs w:val="20"/>
        </w:rPr>
        <w:t xml:space="preserve"> </w:t>
      </w:r>
      <w:r w:rsidR="00693AD1" w:rsidRPr="006869FB">
        <w:rPr>
          <w:rFonts w:ascii="Arial" w:hAnsi="Arial" w:cs="Arial"/>
          <w:sz w:val="20"/>
          <w:szCs w:val="20"/>
        </w:rPr>
        <w:t xml:space="preserve">gives the total number of nets </w:t>
      </w:r>
      <w:r w:rsidR="000E4D49">
        <w:rPr>
          <w:rFonts w:ascii="Arial" w:hAnsi="Arial" w:cs="Arial"/>
          <w:sz w:val="20"/>
          <w:szCs w:val="20"/>
        </w:rPr>
        <w:t>planned for distribution</w:t>
      </w:r>
      <w:r w:rsidR="000E4D49" w:rsidRPr="006869FB">
        <w:rPr>
          <w:rFonts w:ascii="Arial" w:hAnsi="Arial" w:cs="Arial"/>
          <w:sz w:val="20"/>
          <w:szCs w:val="20"/>
        </w:rPr>
        <w:t xml:space="preserve"> </w:t>
      </w:r>
      <w:r w:rsidR="00693AD1" w:rsidRPr="006869FB">
        <w:rPr>
          <w:rFonts w:ascii="Arial" w:hAnsi="Arial" w:cs="Arial"/>
          <w:sz w:val="20"/>
          <w:szCs w:val="20"/>
        </w:rPr>
        <w:t xml:space="preserve">through </w:t>
      </w:r>
      <w:r w:rsidR="00E83B0F" w:rsidRPr="006869FB">
        <w:rPr>
          <w:rFonts w:ascii="Arial" w:hAnsi="Arial" w:cs="Arial"/>
          <w:sz w:val="20"/>
          <w:szCs w:val="20"/>
        </w:rPr>
        <w:t xml:space="preserve">continuous </w:t>
      </w:r>
      <w:r w:rsidR="000E4D49">
        <w:rPr>
          <w:rFonts w:ascii="Arial" w:hAnsi="Arial" w:cs="Arial"/>
          <w:sz w:val="20"/>
          <w:szCs w:val="20"/>
        </w:rPr>
        <w:t xml:space="preserve">distribution </w:t>
      </w:r>
      <w:r w:rsidR="00693AD1" w:rsidRPr="006869FB">
        <w:rPr>
          <w:rFonts w:ascii="Arial" w:hAnsi="Arial" w:cs="Arial"/>
          <w:sz w:val="20"/>
          <w:szCs w:val="20"/>
        </w:rPr>
        <w:t xml:space="preserve">systems. </w:t>
      </w:r>
    </w:p>
    <w:p w14:paraId="1121CD34" w14:textId="77777777" w:rsidR="002C5BAD" w:rsidRDefault="002C5BAD" w:rsidP="0083524E">
      <w:pPr>
        <w:pStyle w:val="ListParagraph"/>
        <w:spacing w:before="120"/>
        <w:jc w:val="both"/>
        <w:rPr>
          <w:rFonts w:ascii="Arial" w:hAnsi="Arial" w:cs="Arial"/>
          <w:sz w:val="20"/>
          <w:szCs w:val="20"/>
        </w:rPr>
      </w:pPr>
    </w:p>
    <w:p w14:paraId="0BD715BD" w14:textId="7E267BAE" w:rsidR="008C2327" w:rsidRDefault="00AF59D3" w:rsidP="00A6629D">
      <w:pPr>
        <w:pStyle w:val="ListParagraph"/>
        <w:numPr>
          <w:ilvl w:val="0"/>
          <w:numId w:val="4"/>
        </w:numPr>
        <w:spacing w:before="120"/>
        <w:jc w:val="both"/>
        <w:rPr>
          <w:rFonts w:ascii="Arial" w:hAnsi="Arial" w:cs="Arial"/>
          <w:sz w:val="20"/>
          <w:szCs w:val="20"/>
        </w:rPr>
      </w:pPr>
      <w:r w:rsidRPr="00AF59D3">
        <w:rPr>
          <w:rFonts w:ascii="Arial" w:hAnsi="Arial" w:cs="Arial"/>
          <w:sz w:val="20"/>
          <w:szCs w:val="20"/>
        </w:rPr>
        <w:t xml:space="preserve">Total </w:t>
      </w:r>
      <w:r w:rsidR="000E4D49">
        <w:rPr>
          <w:rFonts w:ascii="Arial" w:hAnsi="Arial" w:cs="Arial"/>
          <w:sz w:val="20"/>
          <w:szCs w:val="20"/>
        </w:rPr>
        <w:t>n</w:t>
      </w:r>
      <w:r w:rsidRPr="00AF59D3">
        <w:rPr>
          <w:rFonts w:ascii="Arial" w:hAnsi="Arial" w:cs="Arial"/>
          <w:sz w:val="20"/>
          <w:szCs w:val="20"/>
        </w:rPr>
        <w:t xml:space="preserve">umber of nets required. </w:t>
      </w:r>
      <w:r w:rsidR="00693AD1" w:rsidRPr="00AF59D3">
        <w:rPr>
          <w:rFonts w:ascii="Arial" w:hAnsi="Arial" w:cs="Arial"/>
          <w:sz w:val="20"/>
          <w:szCs w:val="20"/>
        </w:rPr>
        <w:t xml:space="preserve">The total number of </w:t>
      </w:r>
      <w:r w:rsidR="001E2F1D" w:rsidRPr="00AF59D3">
        <w:rPr>
          <w:rFonts w:ascii="Arial" w:hAnsi="Arial" w:cs="Arial"/>
          <w:sz w:val="20"/>
          <w:szCs w:val="20"/>
        </w:rPr>
        <w:t>ITN</w:t>
      </w:r>
      <w:r w:rsidR="00693AD1" w:rsidRPr="00AF59D3">
        <w:rPr>
          <w:rFonts w:ascii="Arial" w:hAnsi="Arial" w:cs="Arial"/>
          <w:sz w:val="20"/>
          <w:szCs w:val="20"/>
        </w:rPr>
        <w:t>s required is calculated by adding the campaign nets (usually once every three years, unless the country has adopted a programme of ro</w:t>
      </w:r>
      <w:r w:rsidR="00290878" w:rsidRPr="00AF59D3">
        <w:rPr>
          <w:rFonts w:ascii="Arial" w:hAnsi="Arial" w:cs="Arial"/>
          <w:sz w:val="20"/>
          <w:szCs w:val="20"/>
        </w:rPr>
        <w:t>lling</w:t>
      </w:r>
      <w:r w:rsidR="00693AD1" w:rsidRPr="00AF59D3">
        <w:rPr>
          <w:rFonts w:ascii="Arial" w:hAnsi="Arial" w:cs="Arial"/>
          <w:sz w:val="20"/>
          <w:szCs w:val="20"/>
        </w:rPr>
        <w:t xml:space="preserve"> campaigns) and the </w:t>
      </w:r>
      <w:r w:rsidR="004206B4" w:rsidRPr="00AF59D3">
        <w:rPr>
          <w:rFonts w:ascii="Arial" w:hAnsi="Arial" w:cs="Arial"/>
          <w:sz w:val="20"/>
          <w:szCs w:val="20"/>
        </w:rPr>
        <w:t xml:space="preserve">continuous </w:t>
      </w:r>
      <w:r w:rsidR="00693AD1" w:rsidRPr="00AF59D3">
        <w:rPr>
          <w:rFonts w:ascii="Arial" w:hAnsi="Arial" w:cs="Arial"/>
          <w:sz w:val="20"/>
          <w:szCs w:val="20"/>
        </w:rPr>
        <w:t>nets in all years.</w:t>
      </w:r>
    </w:p>
    <w:p w14:paraId="4DD11CE5" w14:textId="2563B228" w:rsidR="00693AD1" w:rsidRPr="00002729" w:rsidRDefault="00002729" w:rsidP="00A6629D">
      <w:pPr>
        <w:pStyle w:val="ListParagraph"/>
        <w:numPr>
          <w:ilvl w:val="0"/>
          <w:numId w:val="4"/>
        </w:numPr>
        <w:spacing w:before="120"/>
        <w:jc w:val="both"/>
        <w:rPr>
          <w:rFonts w:ascii="Arial" w:hAnsi="Arial" w:cs="Arial"/>
          <w:sz w:val="20"/>
          <w:szCs w:val="20"/>
        </w:rPr>
      </w:pPr>
      <w:r w:rsidRPr="00002729">
        <w:rPr>
          <w:rFonts w:ascii="Arial" w:hAnsi="Arial" w:cs="Arial"/>
          <w:sz w:val="20"/>
          <w:szCs w:val="20"/>
        </w:rPr>
        <w:t xml:space="preserve">Calculate the </w:t>
      </w:r>
      <w:r w:rsidR="000E4D49">
        <w:rPr>
          <w:rFonts w:ascii="Arial" w:hAnsi="Arial" w:cs="Arial"/>
          <w:sz w:val="20"/>
          <w:szCs w:val="20"/>
        </w:rPr>
        <w:t>n</w:t>
      </w:r>
      <w:r w:rsidRPr="00002729">
        <w:rPr>
          <w:rFonts w:ascii="Arial" w:hAnsi="Arial" w:cs="Arial"/>
          <w:sz w:val="20"/>
          <w:szCs w:val="20"/>
        </w:rPr>
        <w:t xml:space="preserve">umber of nets already financed. </w:t>
      </w:r>
      <w:r w:rsidR="001E2F1D" w:rsidRPr="00002729">
        <w:rPr>
          <w:rFonts w:ascii="Arial" w:hAnsi="Arial" w:cs="Arial"/>
          <w:sz w:val="20"/>
          <w:szCs w:val="20"/>
        </w:rPr>
        <w:t>ITN</w:t>
      </w:r>
      <w:r w:rsidR="000E4D49">
        <w:rPr>
          <w:rFonts w:ascii="Arial" w:hAnsi="Arial" w:cs="Arial"/>
          <w:sz w:val="20"/>
          <w:szCs w:val="20"/>
        </w:rPr>
        <w:t xml:space="preserve"> need</w:t>
      </w:r>
      <w:r w:rsidR="00693AD1" w:rsidRPr="00002729">
        <w:rPr>
          <w:rFonts w:ascii="Arial" w:hAnsi="Arial" w:cs="Arial"/>
          <w:sz w:val="20"/>
          <w:szCs w:val="20"/>
        </w:rPr>
        <w:t xml:space="preserve">s planned to be met under other </w:t>
      </w:r>
      <w:proofErr w:type="spellStart"/>
      <w:r w:rsidR="00693AD1" w:rsidRPr="00002729">
        <w:rPr>
          <w:rFonts w:ascii="Arial" w:hAnsi="Arial" w:cs="Arial"/>
          <w:sz w:val="20"/>
          <w:szCs w:val="20"/>
        </w:rPr>
        <w:t>program</w:t>
      </w:r>
      <w:r w:rsidR="00C06C17" w:rsidRPr="00002729">
        <w:rPr>
          <w:rFonts w:ascii="Arial" w:hAnsi="Arial" w:cs="Arial"/>
          <w:sz w:val="20"/>
          <w:szCs w:val="20"/>
        </w:rPr>
        <w:t>me</w:t>
      </w:r>
      <w:r w:rsidR="00693AD1" w:rsidRPr="00002729">
        <w:rPr>
          <w:rFonts w:ascii="Arial" w:hAnsi="Arial" w:cs="Arial"/>
          <w:sz w:val="20"/>
          <w:szCs w:val="20"/>
        </w:rPr>
        <w:t>s</w:t>
      </w:r>
      <w:proofErr w:type="spellEnd"/>
      <w:r w:rsidR="00693AD1" w:rsidRPr="00002729">
        <w:rPr>
          <w:rFonts w:ascii="Arial" w:hAnsi="Arial" w:cs="Arial"/>
          <w:sz w:val="20"/>
          <w:szCs w:val="20"/>
        </w:rPr>
        <w:t xml:space="preserve"> </w:t>
      </w:r>
      <w:r w:rsidR="008D6502" w:rsidRPr="00002729">
        <w:rPr>
          <w:rFonts w:ascii="Arial" w:hAnsi="Arial" w:cs="Arial"/>
          <w:sz w:val="20"/>
          <w:szCs w:val="20"/>
        </w:rPr>
        <w:t xml:space="preserve">(domestic resources, partners other than the Global Fund) </w:t>
      </w:r>
      <w:r w:rsidR="00693AD1" w:rsidRPr="00002729">
        <w:rPr>
          <w:rFonts w:ascii="Arial" w:hAnsi="Arial" w:cs="Arial"/>
          <w:sz w:val="20"/>
          <w:szCs w:val="20"/>
        </w:rPr>
        <w:t xml:space="preserve">are summed to show what is currently funded or expected to be funded. </w:t>
      </w:r>
    </w:p>
    <w:p w14:paraId="3E132550" w14:textId="77777777" w:rsidR="00F94596" w:rsidRDefault="00693AD1" w:rsidP="00A6629D">
      <w:pPr>
        <w:pStyle w:val="ListParagraph"/>
        <w:numPr>
          <w:ilvl w:val="0"/>
          <w:numId w:val="4"/>
        </w:numPr>
        <w:spacing w:before="120"/>
        <w:jc w:val="both"/>
        <w:rPr>
          <w:rFonts w:ascii="Arial" w:hAnsi="Arial" w:cs="Arial"/>
          <w:sz w:val="20"/>
          <w:szCs w:val="20"/>
        </w:rPr>
      </w:pPr>
      <w:r w:rsidRPr="00461CB6">
        <w:rPr>
          <w:rFonts w:ascii="Arial" w:hAnsi="Arial" w:cs="Arial"/>
          <w:sz w:val="20"/>
          <w:szCs w:val="20"/>
        </w:rPr>
        <w:t>The expected annual gap in achieving targets is calculated from the number of nets required minus number of nets funded.</w:t>
      </w:r>
      <w:r w:rsidR="009E7B44" w:rsidRPr="00461CB6">
        <w:rPr>
          <w:rFonts w:ascii="Arial" w:hAnsi="Arial" w:cs="Arial"/>
          <w:sz w:val="20"/>
          <w:szCs w:val="20"/>
        </w:rPr>
        <w:t xml:space="preserve"> </w:t>
      </w:r>
    </w:p>
    <w:p w14:paraId="7B478AEF" w14:textId="2DE32469" w:rsidR="006411C4" w:rsidRDefault="006411C4" w:rsidP="00A6629D">
      <w:pPr>
        <w:pStyle w:val="ListParagraph"/>
        <w:numPr>
          <w:ilvl w:val="0"/>
          <w:numId w:val="4"/>
        </w:numPr>
        <w:spacing w:before="120"/>
        <w:jc w:val="both"/>
        <w:rPr>
          <w:rFonts w:ascii="Arial" w:hAnsi="Arial" w:cs="Arial"/>
          <w:sz w:val="20"/>
          <w:szCs w:val="20"/>
        </w:rPr>
      </w:pPr>
      <w:r>
        <w:rPr>
          <w:rFonts w:ascii="Arial" w:hAnsi="Arial" w:cs="Arial"/>
          <w:sz w:val="20"/>
          <w:szCs w:val="20"/>
        </w:rPr>
        <w:t>Insert the number of nets to be funded through the Global Fund</w:t>
      </w:r>
      <w:r w:rsidR="000E4D49">
        <w:rPr>
          <w:rFonts w:ascii="Arial" w:hAnsi="Arial" w:cs="Arial"/>
          <w:sz w:val="20"/>
          <w:szCs w:val="20"/>
        </w:rPr>
        <w:t xml:space="preserve"> grant.</w:t>
      </w:r>
      <w:r>
        <w:rPr>
          <w:rFonts w:ascii="Arial" w:hAnsi="Arial" w:cs="Arial"/>
          <w:sz w:val="20"/>
          <w:szCs w:val="20"/>
        </w:rPr>
        <w:t xml:space="preserve"> </w:t>
      </w:r>
    </w:p>
    <w:p w14:paraId="6A4E5574" w14:textId="5D73624B" w:rsidR="00693AD1" w:rsidRDefault="001752B5" w:rsidP="00A6629D">
      <w:pPr>
        <w:pStyle w:val="ListParagraph"/>
        <w:numPr>
          <w:ilvl w:val="0"/>
          <w:numId w:val="4"/>
        </w:numPr>
        <w:spacing w:before="120"/>
        <w:jc w:val="both"/>
        <w:rPr>
          <w:rFonts w:ascii="Arial" w:hAnsi="Arial" w:cs="Arial"/>
          <w:sz w:val="20"/>
          <w:szCs w:val="20"/>
        </w:rPr>
      </w:pPr>
      <w:r w:rsidRPr="00461CB6">
        <w:rPr>
          <w:rFonts w:ascii="Arial" w:hAnsi="Arial" w:cs="Arial"/>
          <w:sz w:val="20"/>
          <w:szCs w:val="20"/>
        </w:rPr>
        <w:t>For the GF, c</w:t>
      </w:r>
      <w:r w:rsidR="009E7B44" w:rsidRPr="00461CB6">
        <w:rPr>
          <w:rFonts w:ascii="Arial" w:hAnsi="Arial" w:cs="Arial"/>
          <w:sz w:val="20"/>
          <w:szCs w:val="20"/>
        </w:rPr>
        <w:t xml:space="preserve">onsider including </w:t>
      </w:r>
      <w:r w:rsidR="000E4D49">
        <w:rPr>
          <w:rFonts w:ascii="Arial" w:hAnsi="Arial" w:cs="Arial"/>
          <w:sz w:val="20"/>
          <w:szCs w:val="20"/>
        </w:rPr>
        <w:t>any</w:t>
      </w:r>
      <w:r w:rsidR="000E4D49" w:rsidRPr="00461CB6">
        <w:rPr>
          <w:rFonts w:ascii="Arial" w:hAnsi="Arial" w:cs="Arial"/>
          <w:sz w:val="20"/>
          <w:szCs w:val="20"/>
        </w:rPr>
        <w:t xml:space="preserve"> </w:t>
      </w:r>
      <w:r w:rsidR="009E7B44" w:rsidRPr="00461CB6">
        <w:rPr>
          <w:rFonts w:ascii="Arial" w:hAnsi="Arial" w:cs="Arial"/>
          <w:sz w:val="20"/>
          <w:szCs w:val="20"/>
        </w:rPr>
        <w:t>gap</w:t>
      </w:r>
      <w:r w:rsidR="000E4D49">
        <w:rPr>
          <w:rFonts w:ascii="Arial" w:hAnsi="Arial" w:cs="Arial"/>
          <w:sz w:val="20"/>
          <w:szCs w:val="20"/>
        </w:rPr>
        <w:t xml:space="preserve"> in</w:t>
      </w:r>
      <w:r w:rsidR="009E7B44" w:rsidRPr="00461CB6">
        <w:rPr>
          <w:rFonts w:ascii="Arial" w:hAnsi="Arial" w:cs="Arial"/>
          <w:sz w:val="20"/>
          <w:szCs w:val="20"/>
        </w:rPr>
        <w:t xml:space="preserve"> </w:t>
      </w:r>
      <w:r w:rsidR="001E2F1D" w:rsidRPr="00461CB6">
        <w:rPr>
          <w:rFonts w:ascii="Arial" w:hAnsi="Arial" w:cs="Arial"/>
          <w:sz w:val="20"/>
          <w:szCs w:val="20"/>
        </w:rPr>
        <w:t>ITN</w:t>
      </w:r>
      <w:r w:rsidR="009E7B44" w:rsidRPr="00461CB6">
        <w:rPr>
          <w:rFonts w:ascii="Arial" w:hAnsi="Arial" w:cs="Arial"/>
          <w:sz w:val="20"/>
          <w:szCs w:val="20"/>
        </w:rPr>
        <w:t xml:space="preserve">s in the </w:t>
      </w:r>
      <w:proofErr w:type="spellStart"/>
      <w:r w:rsidR="009E7B44" w:rsidRPr="00461CB6">
        <w:rPr>
          <w:rFonts w:ascii="Arial" w:hAnsi="Arial" w:cs="Arial"/>
          <w:sz w:val="20"/>
          <w:szCs w:val="20"/>
        </w:rPr>
        <w:t>Prioritised</w:t>
      </w:r>
      <w:proofErr w:type="spellEnd"/>
      <w:r w:rsidR="009E7B44" w:rsidRPr="00461CB6">
        <w:rPr>
          <w:rFonts w:ascii="Arial" w:hAnsi="Arial" w:cs="Arial"/>
          <w:sz w:val="20"/>
          <w:szCs w:val="20"/>
        </w:rPr>
        <w:t xml:space="preserve"> Above Allocation Request</w:t>
      </w:r>
      <w:r w:rsidR="00383E89">
        <w:rPr>
          <w:rFonts w:ascii="Arial" w:hAnsi="Arial" w:cs="Arial"/>
          <w:sz w:val="20"/>
          <w:szCs w:val="20"/>
        </w:rPr>
        <w:t xml:space="preserve"> (PAAR)</w:t>
      </w:r>
      <w:r w:rsidR="009E7B44" w:rsidRPr="00461CB6">
        <w:rPr>
          <w:rFonts w:ascii="Arial" w:hAnsi="Arial" w:cs="Arial"/>
          <w:sz w:val="20"/>
          <w:szCs w:val="20"/>
        </w:rPr>
        <w:t>.</w:t>
      </w:r>
      <w:r w:rsidRPr="00461CB6">
        <w:rPr>
          <w:rFonts w:ascii="Arial" w:hAnsi="Arial" w:cs="Arial"/>
          <w:sz w:val="20"/>
          <w:szCs w:val="20"/>
        </w:rPr>
        <w:t xml:space="preserve"> Also highlight </w:t>
      </w:r>
      <w:r w:rsidR="001E2F1D" w:rsidRPr="00461CB6">
        <w:rPr>
          <w:rFonts w:ascii="Arial" w:hAnsi="Arial" w:cs="Arial"/>
          <w:sz w:val="20"/>
          <w:szCs w:val="20"/>
        </w:rPr>
        <w:t>ITN</w:t>
      </w:r>
      <w:r w:rsidRPr="00461CB6">
        <w:rPr>
          <w:rFonts w:ascii="Arial" w:hAnsi="Arial" w:cs="Arial"/>
          <w:sz w:val="20"/>
          <w:szCs w:val="20"/>
        </w:rPr>
        <w:t xml:space="preserve"> gaps to other donors. </w:t>
      </w:r>
    </w:p>
    <w:p w14:paraId="0B3C6383" w14:textId="6183D418" w:rsidR="0005321A" w:rsidRPr="00461CB6" w:rsidRDefault="000B3F6D" w:rsidP="00A6629D">
      <w:pPr>
        <w:pStyle w:val="ListParagraph"/>
        <w:numPr>
          <w:ilvl w:val="0"/>
          <w:numId w:val="4"/>
        </w:numPr>
        <w:spacing w:before="120"/>
        <w:jc w:val="both"/>
        <w:rPr>
          <w:rFonts w:ascii="Arial" w:hAnsi="Arial" w:cs="Arial"/>
          <w:sz w:val="20"/>
          <w:szCs w:val="20"/>
        </w:rPr>
      </w:pPr>
      <w:r>
        <w:rPr>
          <w:rFonts w:ascii="Arial" w:hAnsi="Arial" w:cs="Arial"/>
          <w:sz w:val="20"/>
          <w:szCs w:val="20"/>
        </w:rPr>
        <w:t xml:space="preserve">Calculate the </w:t>
      </w:r>
      <w:r w:rsidR="000E4D49">
        <w:rPr>
          <w:rFonts w:ascii="Arial" w:hAnsi="Arial" w:cs="Arial"/>
          <w:sz w:val="20"/>
          <w:szCs w:val="20"/>
        </w:rPr>
        <w:t>t</w:t>
      </w:r>
      <w:r>
        <w:rPr>
          <w:rFonts w:ascii="Arial" w:hAnsi="Arial" w:cs="Arial"/>
          <w:sz w:val="20"/>
          <w:szCs w:val="20"/>
        </w:rPr>
        <w:t xml:space="preserve">otal </w:t>
      </w:r>
      <w:r w:rsidR="000E4D49">
        <w:rPr>
          <w:rFonts w:ascii="Arial" w:hAnsi="Arial" w:cs="Arial"/>
          <w:sz w:val="20"/>
          <w:szCs w:val="20"/>
        </w:rPr>
        <w:t>n</w:t>
      </w:r>
      <w:r>
        <w:rPr>
          <w:rFonts w:ascii="Arial" w:hAnsi="Arial" w:cs="Arial"/>
          <w:sz w:val="20"/>
          <w:szCs w:val="20"/>
        </w:rPr>
        <w:t>umber of nets financed</w:t>
      </w:r>
      <w:r w:rsidR="00383E89">
        <w:rPr>
          <w:rFonts w:ascii="Arial" w:hAnsi="Arial" w:cs="Arial"/>
          <w:sz w:val="20"/>
          <w:szCs w:val="20"/>
        </w:rPr>
        <w:t>.</w:t>
      </w:r>
      <w:r>
        <w:rPr>
          <w:rFonts w:ascii="Arial" w:hAnsi="Arial" w:cs="Arial"/>
          <w:sz w:val="20"/>
          <w:szCs w:val="20"/>
        </w:rPr>
        <w:t xml:space="preserve"> </w:t>
      </w:r>
    </w:p>
    <w:p w14:paraId="6969C6A9" w14:textId="5084C59B" w:rsidR="000B3F6D" w:rsidRDefault="00652048" w:rsidP="00A6629D">
      <w:pPr>
        <w:pStyle w:val="ListParagraph"/>
        <w:numPr>
          <w:ilvl w:val="0"/>
          <w:numId w:val="4"/>
        </w:numPr>
        <w:spacing w:before="120"/>
        <w:jc w:val="both"/>
        <w:rPr>
          <w:rFonts w:ascii="Arial" w:hAnsi="Arial" w:cs="Arial"/>
          <w:sz w:val="20"/>
          <w:szCs w:val="20"/>
        </w:rPr>
      </w:pPr>
      <w:r w:rsidRPr="006869FB">
        <w:rPr>
          <w:rFonts w:ascii="Arial" w:hAnsi="Arial" w:cs="Arial"/>
          <w:sz w:val="20"/>
          <w:szCs w:val="20"/>
        </w:rPr>
        <w:t xml:space="preserve">Highlight </w:t>
      </w:r>
      <w:r w:rsidR="00A25870" w:rsidRPr="006869FB">
        <w:rPr>
          <w:rFonts w:ascii="Arial" w:hAnsi="Arial" w:cs="Arial"/>
          <w:sz w:val="20"/>
          <w:szCs w:val="20"/>
        </w:rPr>
        <w:t>the outstanding gap</w:t>
      </w:r>
      <w:r w:rsidR="00383E89">
        <w:rPr>
          <w:rFonts w:ascii="Arial" w:hAnsi="Arial" w:cs="Arial"/>
          <w:sz w:val="20"/>
          <w:szCs w:val="20"/>
        </w:rPr>
        <w:t>.</w:t>
      </w:r>
    </w:p>
    <w:p w14:paraId="2B03ECD7" w14:textId="4D4713A6" w:rsidR="000B3F6D" w:rsidRDefault="000B3F6D" w:rsidP="004204FF">
      <w:pPr>
        <w:pStyle w:val="ListParagraph"/>
        <w:spacing w:before="120"/>
        <w:ind w:left="360"/>
        <w:jc w:val="both"/>
        <w:rPr>
          <w:rFonts w:ascii="Arial" w:hAnsi="Arial" w:cs="Arial"/>
          <w:sz w:val="20"/>
          <w:szCs w:val="20"/>
        </w:rPr>
      </w:pPr>
    </w:p>
    <w:p w14:paraId="3AC99F1F" w14:textId="7C4E20E7" w:rsidR="004204FF" w:rsidRPr="004204FF" w:rsidRDefault="004204FF" w:rsidP="0002780D">
      <w:pPr>
        <w:pStyle w:val="ListParagraph"/>
        <w:spacing w:before="120"/>
        <w:ind w:left="0"/>
        <w:jc w:val="both"/>
        <w:rPr>
          <w:rFonts w:ascii="Arial" w:hAnsi="Arial" w:cs="Arial"/>
          <w:b/>
          <w:bCs/>
          <w:sz w:val="20"/>
          <w:szCs w:val="20"/>
        </w:rPr>
      </w:pPr>
      <w:r w:rsidRPr="004204FF">
        <w:rPr>
          <w:rFonts w:ascii="Arial" w:hAnsi="Arial" w:cs="Arial"/>
          <w:b/>
          <w:bCs/>
          <w:sz w:val="20"/>
          <w:szCs w:val="20"/>
        </w:rPr>
        <w:t xml:space="preserve">Types of </w:t>
      </w:r>
      <w:r w:rsidR="00F8570E">
        <w:rPr>
          <w:rFonts w:ascii="Arial" w:hAnsi="Arial" w:cs="Arial"/>
          <w:b/>
          <w:bCs/>
          <w:sz w:val="20"/>
          <w:szCs w:val="20"/>
        </w:rPr>
        <w:t>ITNs</w:t>
      </w:r>
    </w:p>
    <w:p w14:paraId="35738BDC" w14:textId="685A9BD1" w:rsidR="009E7B44" w:rsidRPr="006869FB" w:rsidRDefault="009E7B44" w:rsidP="0002780D">
      <w:pPr>
        <w:pStyle w:val="ListParagraph"/>
        <w:spacing w:before="120"/>
        <w:ind w:left="0"/>
        <w:jc w:val="both"/>
        <w:rPr>
          <w:rFonts w:ascii="Arial" w:hAnsi="Arial" w:cs="Arial"/>
          <w:sz w:val="20"/>
          <w:szCs w:val="20"/>
        </w:rPr>
      </w:pPr>
      <w:r w:rsidRPr="00830A78">
        <w:rPr>
          <w:rFonts w:ascii="Arial" w:hAnsi="Arial" w:cs="Arial"/>
          <w:b/>
          <w:bCs/>
          <w:sz w:val="20"/>
          <w:szCs w:val="20"/>
        </w:rPr>
        <w:t xml:space="preserve">PBO </w:t>
      </w:r>
      <w:r w:rsidR="001E2F1D" w:rsidRPr="00830A78">
        <w:rPr>
          <w:rFonts w:ascii="Arial" w:hAnsi="Arial" w:cs="Arial"/>
          <w:b/>
          <w:bCs/>
          <w:sz w:val="20"/>
          <w:szCs w:val="20"/>
        </w:rPr>
        <w:t>ITN</w:t>
      </w:r>
      <w:r w:rsidRPr="00830A78">
        <w:rPr>
          <w:rFonts w:ascii="Arial" w:hAnsi="Arial" w:cs="Arial"/>
          <w:b/>
          <w:bCs/>
          <w:sz w:val="20"/>
          <w:szCs w:val="20"/>
        </w:rPr>
        <w:t>s</w:t>
      </w:r>
      <w:r w:rsidR="00652048" w:rsidRPr="006869FB">
        <w:rPr>
          <w:rFonts w:ascii="Arial" w:hAnsi="Arial" w:cs="Arial"/>
          <w:sz w:val="20"/>
          <w:szCs w:val="20"/>
        </w:rPr>
        <w:t xml:space="preserve">: </w:t>
      </w:r>
      <w:r w:rsidRPr="006869FB">
        <w:rPr>
          <w:rFonts w:ascii="Arial" w:hAnsi="Arial" w:cs="Arial"/>
          <w:sz w:val="20"/>
          <w:szCs w:val="20"/>
        </w:rPr>
        <w:t xml:space="preserve">From </w:t>
      </w:r>
      <w:r w:rsidR="001752B5" w:rsidRPr="006869FB">
        <w:rPr>
          <w:rFonts w:ascii="Arial" w:hAnsi="Arial" w:cs="Arial"/>
          <w:sz w:val="20"/>
          <w:szCs w:val="20"/>
        </w:rPr>
        <w:t xml:space="preserve">the total number of </w:t>
      </w:r>
      <w:r w:rsidR="001E2F1D" w:rsidRPr="006869FB">
        <w:rPr>
          <w:rFonts w:ascii="Arial" w:hAnsi="Arial" w:cs="Arial"/>
          <w:sz w:val="20"/>
          <w:szCs w:val="20"/>
        </w:rPr>
        <w:t>ITN</w:t>
      </w:r>
      <w:r w:rsidR="001752B5" w:rsidRPr="006869FB">
        <w:rPr>
          <w:rFonts w:ascii="Arial" w:hAnsi="Arial" w:cs="Arial"/>
          <w:sz w:val="20"/>
          <w:szCs w:val="20"/>
        </w:rPr>
        <w:t>s</w:t>
      </w:r>
      <w:r w:rsidR="004204FF">
        <w:rPr>
          <w:rFonts w:ascii="Arial" w:hAnsi="Arial" w:cs="Arial"/>
          <w:sz w:val="20"/>
          <w:szCs w:val="20"/>
        </w:rPr>
        <w:t>,</w:t>
      </w:r>
      <w:r w:rsidR="001752B5" w:rsidRPr="006869FB">
        <w:rPr>
          <w:rFonts w:ascii="Arial" w:hAnsi="Arial" w:cs="Arial"/>
          <w:sz w:val="20"/>
          <w:szCs w:val="20"/>
        </w:rPr>
        <w:t xml:space="preserve"> </w:t>
      </w:r>
      <w:r w:rsidR="00652048" w:rsidRPr="006869FB">
        <w:rPr>
          <w:rFonts w:ascii="Arial" w:hAnsi="Arial" w:cs="Arial"/>
          <w:sz w:val="20"/>
          <w:szCs w:val="20"/>
        </w:rPr>
        <w:t xml:space="preserve">insert </w:t>
      </w:r>
      <w:r w:rsidR="001752B5" w:rsidRPr="006869FB">
        <w:rPr>
          <w:rFonts w:ascii="Arial" w:hAnsi="Arial" w:cs="Arial"/>
          <w:sz w:val="20"/>
          <w:szCs w:val="20"/>
        </w:rPr>
        <w:t xml:space="preserve">the number of </w:t>
      </w:r>
      <w:r w:rsidRPr="006869FB">
        <w:rPr>
          <w:rFonts w:ascii="Arial" w:hAnsi="Arial" w:cs="Arial"/>
          <w:sz w:val="20"/>
          <w:szCs w:val="20"/>
        </w:rPr>
        <w:t xml:space="preserve">PBOs </w:t>
      </w:r>
      <w:r w:rsidR="001752B5" w:rsidRPr="006869FB">
        <w:rPr>
          <w:rFonts w:ascii="Arial" w:hAnsi="Arial" w:cs="Arial"/>
          <w:sz w:val="20"/>
          <w:szCs w:val="20"/>
        </w:rPr>
        <w:t xml:space="preserve">required </w:t>
      </w:r>
      <w:r w:rsidRPr="006869FB">
        <w:rPr>
          <w:rFonts w:ascii="Arial" w:hAnsi="Arial" w:cs="Arial"/>
          <w:sz w:val="20"/>
          <w:szCs w:val="20"/>
        </w:rPr>
        <w:t>based on resistance data</w:t>
      </w:r>
      <w:r w:rsidR="004204FF">
        <w:rPr>
          <w:rFonts w:ascii="Arial" w:hAnsi="Arial" w:cs="Arial"/>
          <w:sz w:val="20"/>
          <w:szCs w:val="20"/>
        </w:rPr>
        <w:t xml:space="preserve"> and sub-national tailoring</w:t>
      </w:r>
      <w:r w:rsidR="001752B5" w:rsidRPr="006869FB">
        <w:rPr>
          <w:rFonts w:ascii="Arial" w:hAnsi="Arial" w:cs="Arial"/>
          <w:sz w:val="20"/>
          <w:szCs w:val="20"/>
        </w:rPr>
        <w:t>.</w:t>
      </w:r>
      <w:r w:rsidR="00652048" w:rsidRPr="006869FB">
        <w:rPr>
          <w:rFonts w:ascii="Arial" w:hAnsi="Arial" w:cs="Arial"/>
          <w:sz w:val="20"/>
          <w:szCs w:val="20"/>
        </w:rPr>
        <w:t xml:space="preserve"> Note the n</w:t>
      </w:r>
      <w:r w:rsidR="001752B5" w:rsidRPr="006869FB">
        <w:rPr>
          <w:rFonts w:ascii="Arial" w:hAnsi="Arial" w:cs="Arial"/>
          <w:sz w:val="20"/>
          <w:szCs w:val="20"/>
        </w:rPr>
        <w:t xml:space="preserve">umber of PBOs already financed and highlight the number of PBO </w:t>
      </w:r>
      <w:r w:rsidR="001E2F1D" w:rsidRPr="006869FB">
        <w:rPr>
          <w:rFonts w:ascii="Arial" w:hAnsi="Arial" w:cs="Arial"/>
          <w:sz w:val="20"/>
          <w:szCs w:val="20"/>
        </w:rPr>
        <w:t>ITN</w:t>
      </w:r>
      <w:r w:rsidR="001752B5" w:rsidRPr="006869FB">
        <w:rPr>
          <w:rFonts w:ascii="Arial" w:hAnsi="Arial" w:cs="Arial"/>
          <w:sz w:val="20"/>
          <w:szCs w:val="20"/>
        </w:rPr>
        <w:t>s to be funded</w:t>
      </w:r>
      <w:r w:rsidR="00F571FD">
        <w:rPr>
          <w:rFonts w:ascii="Arial" w:hAnsi="Arial" w:cs="Arial"/>
          <w:sz w:val="20"/>
          <w:szCs w:val="20"/>
        </w:rPr>
        <w:t xml:space="preserve"> through the GF allocation</w:t>
      </w:r>
      <w:r w:rsidR="001752B5" w:rsidRPr="006869FB">
        <w:rPr>
          <w:rFonts w:ascii="Arial" w:hAnsi="Arial" w:cs="Arial"/>
          <w:sz w:val="20"/>
          <w:szCs w:val="20"/>
        </w:rPr>
        <w:t xml:space="preserve">. </w:t>
      </w:r>
    </w:p>
    <w:p w14:paraId="68A2EF5E" w14:textId="77777777" w:rsidR="00830A78" w:rsidRDefault="00830A78" w:rsidP="0002780D">
      <w:pPr>
        <w:pStyle w:val="ListParagraph"/>
        <w:spacing w:before="120"/>
        <w:ind w:left="0"/>
        <w:jc w:val="both"/>
        <w:rPr>
          <w:rFonts w:ascii="Arial" w:hAnsi="Arial" w:cs="Arial"/>
          <w:sz w:val="20"/>
          <w:szCs w:val="20"/>
        </w:rPr>
      </w:pPr>
    </w:p>
    <w:p w14:paraId="6AD9ACF4" w14:textId="3DF14F4E" w:rsidR="00F8570E" w:rsidRDefault="00652048" w:rsidP="0002780D">
      <w:pPr>
        <w:pStyle w:val="ListParagraph"/>
        <w:spacing w:before="120"/>
        <w:ind w:left="0"/>
        <w:jc w:val="both"/>
        <w:rPr>
          <w:rFonts w:ascii="Arial" w:hAnsi="Arial" w:cs="Arial"/>
          <w:sz w:val="20"/>
          <w:szCs w:val="20"/>
        </w:rPr>
      </w:pPr>
      <w:r w:rsidRPr="00830A78">
        <w:rPr>
          <w:rFonts w:ascii="Arial" w:hAnsi="Arial" w:cs="Arial"/>
          <w:b/>
          <w:bCs/>
          <w:sz w:val="20"/>
          <w:szCs w:val="20"/>
        </w:rPr>
        <w:t xml:space="preserve">Dual </w:t>
      </w:r>
      <w:r w:rsidR="00F8570E">
        <w:rPr>
          <w:rFonts w:ascii="Arial" w:hAnsi="Arial" w:cs="Arial"/>
          <w:b/>
          <w:bCs/>
          <w:sz w:val="20"/>
          <w:szCs w:val="20"/>
        </w:rPr>
        <w:t>active ingredient</w:t>
      </w:r>
      <w:r w:rsidR="00F8570E" w:rsidRPr="00830A78">
        <w:rPr>
          <w:rFonts w:ascii="Arial" w:hAnsi="Arial" w:cs="Arial"/>
          <w:b/>
          <w:bCs/>
          <w:sz w:val="20"/>
          <w:szCs w:val="20"/>
        </w:rPr>
        <w:t xml:space="preserve"> </w:t>
      </w:r>
      <w:r w:rsidR="000B2654" w:rsidRPr="00830A78">
        <w:rPr>
          <w:rFonts w:ascii="Arial" w:hAnsi="Arial" w:cs="Arial"/>
          <w:b/>
          <w:bCs/>
          <w:sz w:val="20"/>
          <w:szCs w:val="20"/>
        </w:rPr>
        <w:t>ITNs</w:t>
      </w:r>
      <w:r w:rsidRPr="006869FB">
        <w:rPr>
          <w:rFonts w:ascii="Arial" w:hAnsi="Arial" w:cs="Arial"/>
          <w:sz w:val="20"/>
          <w:szCs w:val="20"/>
        </w:rPr>
        <w:t xml:space="preserve">: </w:t>
      </w:r>
      <w:r w:rsidR="000B2654" w:rsidRPr="006869FB">
        <w:rPr>
          <w:rFonts w:ascii="Arial" w:hAnsi="Arial" w:cs="Arial"/>
          <w:sz w:val="20"/>
          <w:szCs w:val="20"/>
        </w:rPr>
        <w:t xml:space="preserve">From the total number of ITNs insert the number of </w:t>
      </w:r>
      <w:r w:rsidR="005F2972" w:rsidRPr="006869FB">
        <w:rPr>
          <w:rFonts w:ascii="Arial" w:hAnsi="Arial" w:cs="Arial"/>
          <w:sz w:val="20"/>
          <w:szCs w:val="20"/>
        </w:rPr>
        <w:t>dual</w:t>
      </w:r>
      <w:r w:rsidR="000B2654" w:rsidRPr="006869FB">
        <w:rPr>
          <w:rFonts w:ascii="Arial" w:hAnsi="Arial" w:cs="Arial"/>
          <w:sz w:val="20"/>
          <w:szCs w:val="20"/>
        </w:rPr>
        <w:t xml:space="preserve"> </w:t>
      </w:r>
      <w:r w:rsidR="00F8570E">
        <w:rPr>
          <w:rFonts w:ascii="Arial" w:hAnsi="Arial" w:cs="Arial"/>
          <w:sz w:val="20"/>
          <w:szCs w:val="20"/>
        </w:rPr>
        <w:t>active ingredient (AI)</w:t>
      </w:r>
      <w:r w:rsidR="00F8570E" w:rsidRPr="006869FB">
        <w:rPr>
          <w:rFonts w:ascii="Arial" w:hAnsi="Arial" w:cs="Arial"/>
          <w:sz w:val="20"/>
          <w:szCs w:val="20"/>
        </w:rPr>
        <w:t xml:space="preserve"> </w:t>
      </w:r>
      <w:r w:rsidR="000B2654" w:rsidRPr="006869FB">
        <w:rPr>
          <w:rFonts w:ascii="Arial" w:hAnsi="Arial" w:cs="Arial"/>
          <w:sz w:val="20"/>
          <w:szCs w:val="20"/>
        </w:rPr>
        <w:t>ITNs required based on resistance data</w:t>
      </w:r>
      <w:r w:rsidR="00830A78">
        <w:rPr>
          <w:rFonts w:ascii="Arial" w:hAnsi="Arial" w:cs="Arial"/>
          <w:sz w:val="20"/>
          <w:szCs w:val="20"/>
        </w:rPr>
        <w:t xml:space="preserve"> and sub</w:t>
      </w:r>
      <w:r w:rsidR="00F8570E">
        <w:rPr>
          <w:rFonts w:ascii="Arial" w:hAnsi="Arial" w:cs="Arial"/>
          <w:sz w:val="20"/>
          <w:szCs w:val="20"/>
        </w:rPr>
        <w:t>-</w:t>
      </w:r>
      <w:r w:rsidR="00830A78">
        <w:rPr>
          <w:rFonts w:ascii="Arial" w:hAnsi="Arial" w:cs="Arial"/>
          <w:sz w:val="20"/>
          <w:szCs w:val="20"/>
        </w:rPr>
        <w:t>national tailoring</w:t>
      </w:r>
      <w:r w:rsidR="000B2654" w:rsidRPr="006869FB">
        <w:rPr>
          <w:rFonts w:ascii="Arial" w:hAnsi="Arial" w:cs="Arial"/>
          <w:sz w:val="20"/>
          <w:szCs w:val="20"/>
        </w:rPr>
        <w:t>. Note the number of du</w:t>
      </w:r>
      <w:r w:rsidR="00830A78">
        <w:rPr>
          <w:rFonts w:ascii="Arial" w:hAnsi="Arial" w:cs="Arial"/>
          <w:sz w:val="20"/>
          <w:szCs w:val="20"/>
        </w:rPr>
        <w:t>a</w:t>
      </w:r>
      <w:r w:rsidR="000B2654" w:rsidRPr="006869FB">
        <w:rPr>
          <w:rFonts w:ascii="Arial" w:hAnsi="Arial" w:cs="Arial"/>
          <w:sz w:val="20"/>
          <w:szCs w:val="20"/>
        </w:rPr>
        <w:t xml:space="preserve">l </w:t>
      </w:r>
      <w:r w:rsidR="00F8570E">
        <w:rPr>
          <w:rFonts w:ascii="Arial" w:hAnsi="Arial" w:cs="Arial"/>
          <w:sz w:val="20"/>
          <w:szCs w:val="20"/>
        </w:rPr>
        <w:t>AI</w:t>
      </w:r>
      <w:r w:rsidR="00F8570E" w:rsidRPr="006869FB">
        <w:rPr>
          <w:rFonts w:ascii="Arial" w:hAnsi="Arial" w:cs="Arial"/>
          <w:sz w:val="20"/>
          <w:szCs w:val="20"/>
        </w:rPr>
        <w:t xml:space="preserve"> </w:t>
      </w:r>
      <w:r w:rsidR="000B2654" w:rsidRPr="006869FB">
        <w:rPr>
          <w:rFonts w:ascii="Arial" w:hAnsi="Arial" w:cs="Arial"/>
          <w:sz w:val="20"/>
          <w:szCs w:val="20"/>
        </w:rPr>
        <w:t xml:space="preserve">nets already financed and highlight the number of </w:t>
      </w:r>
      <w:r w:rsidR="00F8570E">
        <w:rPr>
          <w:rFonts w:ascii="Arial" w:hAnsi="Arial" w:cs="Arial"/>
          <w:sz w:val="20"/>
          <w:szCs w:val="20"/>
        </w:rPr>
        <w:t>dual AI</w:t>
      </w:r>
      <w:r w:rsidR="00F8570E" w:rsidRPr="006869FB">
        <w:rPr>
          <w:rFonts w:ascii="Arial" w:hAnsi="Arial" w:cs="Arial"/>
          <w:sz w:val="20"/>
          <w:szCs w:val="20"/>
        </w:rPr>
        <w:t xml:space="preserve"> </w:t>
      </w:r>
      <w:r w:rsidR="000B2654" w:rsidRPr="006869FB">
        <w:rPr>
          <w:rFonts w:ascii="Arial" w:hAnsi="Arial" w:cs="Arial"/>
          <w:sz w:val="20"/>
          <w:szCs w:val="20"/>
        </w:rPr>
        <w:t>ITNs to be funded</w:t>
      </w:r>
      <w:r w:rsidR="00F571FD">
        <w:rPr>
          <w:rFonts w:ascii="Arial" w:hAnsi="Arial" w:cs="Arial"/>
          <w:sz w:val="20"/>
          <w:szCs w:val="20"/>
        </w:rPr>
        <w:t xml:space="preserve"> through the GF allocation</w:t>
      </w:r>
      <w:r w:rsidR="000B2654" w:rsidRPr="006869FB">
        <w:rPr>
          <w:rFonts w:ascii="Arial" w:hAnsi="Arial" w:cs="Arial"/>
          <w:sz w:val="20"/>
          <w:szCs w:val="20"/>
        </w:rPr>
        <w:t xml:space="preserve">. </w:t>
      </w:r>
    </w:p>
    <w:p w14:paraId="55F706C1" w14:textId="77777777" w:rsidR="00F8570E" w:rsidRDefault="00F8570E" w:rsidP="0002780D">
      <w:pPr>
        <w:pStyle w:val="ListParagraph"/>
        <w:spacing w:before="120"/>
        <w:ind w:left="0"/>
        <w:jc w:val="both"/>
        <w:rPr>
          <w:rFonts w:ascii="Arial" w:hAnsi="Arial" w:cs="Arial"/>
          <w:sz w:val="20"/>
          <w:szCs w:val="20"/>
        </w:rPr>
      </w:pPr>
    </w:p>
    <w:p w14:paraId="4D96A550" w14:textId="17BA7A51" w:rsidR="00652048" w:rsidRPr="006869FB" w:rsidRDefault="000B2654" w:rsidP="0002780D">
      <w:pPr>
        <w:pStyle w:val="ListParagraph"/>
        <w:spacing w:before="120"/>
        <w:ind w:left="0"/>
        <w:jc w:val="both"/>
        <w:rPr>
          <w:rFonts w:ascii="Arial" w:hAnsi="Arial" w:cs="Arial"/>
          <w:sz w:val="20"/>
          <w:szCs w:val="20"/>
        </w:rPr>
      </w:pPr>
      <w:r w:rsidRPr="006869FB">
        <w:rPr>
          <w:rFonts w:ascii="Arial" w:hAnsi="Arial" w:cs="Arial"/>
          <w:sz w:val="20"/>
          <w:szCs w:val="20"/>
        </w:rPr>
        <w:t xml:space="preserve">Note any outstanding gaps and consider including these in the </w:t>
      </w:r>
      <w:r w:rsidR="00383E89">
        <w:rPr>
          <w:rFonts w:ascii="Arial" w:hAnsi="Arial" w:cs="Arial"/>
          <w:sz w:val="20"/>
          <w:szCs w:val="20"/>
        </w:rPr>
        <w:t>PAAR</w:t>
      </w:r>
      <w:r w:rsidRPr="006869FB">
        <w:rPr>
          <w:rFonts w:ascii="Arial" w:hAnsi="Arial" w:cs="Arial"/>
          <w:sz w:val="20"/>
          <w:szCs w:val="20"/>
        </w:rPr>
        <w:t>. Note whether gaps are for the full cost of the PBO/</w:t>
      </w:r>
      <w:r w:rsidR="005F2972" w:rsidRPr="006869FB">
        <w:rPr>
          <w:rFonts w:ascii="Arial" w:hAnsi="Arial" w:cs="Arial"/>
          <w:sz w:val="20"/>
          <w:szCs w:val="20"/>
        </w:rPr>
        <w:t>dual</w:t>
      </w:r>
      <w:r w:rsidR="00F571FD">
        <w:rPr>
          <w:rFonts w:ascii="Arial" w:hAnsi="Arial" w:cs="Arial"/>
          <w:sz w:val="20"/>
          <w:szCs w:val="20"/>
        </w:rPr>
        <w:t xml:space="preserve"> </w:t>
      </w:r>
      <w:r w:rsidRPr="006869FB">
        <w:rPr>
          <w:rFonts w:ascii="Arial" w:hAnsi="Arial" w:cs="Arial"/>
          <w:sz w:val="20"/>
          <w:szCs w:val="20"/>
        </w:rPr>
        <w:t>ITN</w:t>
      </w:r>
      <w:r w:rsidR="00F8570E">
        <w:rPr>
          <w:rFonts w:ascii="Arial" w:hAnsi="Arial" w:cs="Arial"/>
          <w:sz w:val="20"/>
          <w:szCs w:val="20"/>
        </w:rPr>
        <w:t>s</w:t>
      </w:r>
      <w:r w:rsidRPr="006869FB">
        <w:rPr>
          <w:rFonts w:ascii="Arial" w:hAnsi="Arial" w:cs="Arial"/>
          <w:sz w:val="20"/>
          <w:szCs w:val="20"/>
        </w:rPr>
        <w:t xml:space="preserve"> or for the cost difference between these ITNs compared to pyrethroid only ITNs. </w:t>
      </w:r>
    </w:p>
    <w:p w14:paraId="0904A6FD" w14:textId="7E5836BA" w:rsidR="00C06C17" w:rsidRPr="006869FB" w:rsidRDefault="00C06C17" w:rsidP="0020756E">
      <w:pPr>
        <w:pStyle w:val="Heading2"/>
        <w:spacing w:before="120"/>
        <w:rPr>
          <w:rFonts w:ascii="Arial" w:hAnsi="Arial" w:cs="Arial"/>
          <w:sz w:val="20"/>
          <w:szCs w:val="20"/>
        </w:rPr>
      </w:pPr>
      <w:r w:rsidRPr="006869FB">
        <w:rPr>
          <w:rFonts w:ascii="Arial" w:hAnsi="Arial" w:cs="Arial"/>
          <w:sz w:val="20"/>
          <w:szCs w:val="20"/>
        </w:rPr>
        <w:t xml:space="preserve">IRS gap analysis </w:t>
      </w:r>
    </w:p>
    <w:p w14:paraId="03AF776B" w14:textId="0591AA69" w:rsidR="00C06C17" w:rsidRPr="00907362" w:rsidRDefault="00C06C17" w:rsidP="00907362">
      <w:pPr>
        <w:jc w:val="both"/>
        <w:rPr>
          <w:rFonts w:ascii="Arial" w:hAnsi="Arial" w:cs="Arial"/>
          <w:sz w:val="20"/>
          <w:szCs w:val="20"/>
        </w:rPr>
      </w:pPr>
      <w:r w:rsidRPr="00907362">
        <w:rPr>
          <w:rFonts w:ascii="Arial" w:hAnsi="Arial" w:cs="Arial"/>
          <w:sz w:val="20"/>
          <w:szCs w:val="20"/>
        </w:rPr>
        <w:t>Define the objective of IRS within the goals of the national malaria program</w:t>
      </w:r>
      <w:r w:rsidR="00A97C34" w:rsidRPr="00907362">
        <w:rPr>
          <w:rFonts w:ascii="Arial" w:hAnsi="Arial" w:cs="Arial"/>
          <w:sz w:val="20"/>
          <w:szCs w:val="20"/>
        </w:rPr>
        <w:t>me</w:t>
      </w:r>
    </w:p>
    <w:p w14:paraId="7D84EB6E" w14:textId="196D77A0" w:rsidR="00C06C17" w:rsidRPr="006869FB" w:rsidRDefault="00C06C17" w:rsidP="00A6629D">
      <w:pPr>
        <w:pStyle w:val="Default"/>
        <w:numPr>
          <w:ilvl w:val="0"/>
          <w:numId w:val="9"/>
        </w:numPr>
        <w:ind w:right="43"/>
        <w:jc w:val="both"/>
        <w:rPr>
          <w:rFonts w:ascii="Arial" w:hAnsi="Arial" w:cs="Arial"/>
          <w:bCs/>
          <w:sz w:val="20"/>
          <w:szCs w:val="20"/>
          <w:lang w:val="en-US"/>
        </w:rPr>
      </w:pPr>
      <w:r w:rsidRPr="006869FB">
        <w:rPr>
          <w:rFonts w:ascii="Arial" w:hAnsi="Arial" w:cs="Arial"/>
          <w:bCs/>
          <w:sz w:val="20"/>
          <w:szCs w:val="20"/>
          <w:lang w:val="en-US"/>
        </w:rPr>
        <w:t xml:space="preserve">To reduce transmission in high malaria endemic areas </w:t>
      </w:r>
    </w:p>
    <w:p w14:paraId="6F48D790" w14:textId="77777777" w:rsidR="00C06C17" w:rsidRPr="006869FB" w:rsidRDefault="00C06C17" w:rsidP="00A6629D">
      <w:pPr>
        <w:pStyle w:val="Default"/>
        <w:numPr>
          <w:ilvl w:val="0"/>
          <w:numId w:val="9"/>
        </w:numPr>
        <w:ind w:right="43"/>
        <w:jc w:val="both"/>
        <w:rPr>
          <w:rFonts w:ascii="Arial" w:hAnsi="Arial" w:cs="Arial"/>
          <w:bCs/>
          <w:sz w:val="20"/>
          <w:szCs w:val="20"/>
          <w:lang w:val="en-US"/>
        </w:rPr>
      </w:pPr>
      <w:r w:rsidRPr="006869FB">
        <w:rPr>
          <w:rFonts w:ascii="Arial" w:hAnsi="Arial" w:cs="Arial"/>
          <w:bCs/>
          <w:sz w:val="20"/>
          <w:szCs w:val="20"/>
          <w:lang w:val="en-US"/>
        </w:rPr>
        <w:t>To prevent epidemics in moderate and low transmission areas</w:t>
      </w:r>
    </w:p>
    <w:p w14:paraId="5882B236" w14:textId="77777777" w:rsidR="00C06C17" w:rsidRPr="006869FB" w:rsidRDefault="00C06C17" w:rsidP="00A6629D">
      <w:pPr>
        <w:pStyle w:val="Default"/>
        <w:numPr>
          <w:ilvl w:val="0"/>
          <w:numId w:val="9"/>
        </w:numPr>
        <w:ind w:right="43"/>
        <w:jc w:val="both"/>
        <w:rPr>
          <w:rFonts w:ascii="Arial" w:hAnsi="Arial" w:cs="Arial"/>
          <w:bCs/>
          <w:sz w:val="20"/>
          <w:szCs w:val="20"/>
          <w:lang w:val="en-US"/>
        </w:rPr>
      </w:pPr>
      <w:r w:rsidRPr="006869FB">
        <w:rPr>
          <w:rFonts w:ascii="Arial" w:hAnsi="Arial" w:cs="Arial"/>
          <w:bCs/>
          <w:sz w:val="20"/>
          <w:szCs w:val="20"/>
          <w:lang w:val="en-US"/>
        </w:rPr>
        <w:lastRenderedPageBreak/>
        <w:t xml:space="preserve">To eliminate malaria from malaria foci   </w:t>
      </w:r>
    </w:p>
    <w:p w14:paraId="28FBA80C" w14:textId="77777777" w:rsidR="00C06C17" w:rsidRPr="006869FB" w:rsidRDefault="00C06C17" w:rsidP="00A6629D">
      <w:pPr>
        <w:pStyle w:val="Default"/>
        <w:numPr>
          <w:ilvl w:val="0"/>
          <w:numId w:val="9"/>
        </w:numPr>
        <w:ind w:right="43"/>
        <w:jc w:val="both"/>
        <w:rPr>
          <w:rFonts w:ascii="Arial" w:hAnsi="Arial" w:cs="Arial"/>
          <w:bCs/>
          <w:sz w:val="20"/>
          <w:szCs w:val="20"/>
          <w:lang w:val="en-US"/>
        </w:rPr>
      </w:pPr>
      <w:r w:rsidRPr="006869FB">
        <w:rPr>
          <w:rFonts w:ascii="Arial" w:hAnsi="Arial" w:cs="Arial"/>
          <w:bCs/>
          <w:sz w:val="20"/>
          <w:szCs w:val="20"/>
          <w:lang w:val="en-US"/>
        </w:rPr>
        <w:t>To address insecticide resistance</w:t>
      </w:r>
    </w:p>
    <w:p w14:paraId="0FCA44D2" w14:textId="77777777" w:rsidR="00336E53" w:rsidRDefault="00336E53" w:rsidP="00A6629D">
      <w:pPr>
        <w:pStyle w:val="Default"/>
        <w:numPr>
          <w:ilvl w:val="0"/>
          <w:numId w:val="14"/>
        </w:numPr>
        <w:spacing w:before="120"/>
        <w:ind w:right="45"/>
        <w:jc w:val="both"/>
        <w:rPr>
          <w:rFonts w:ascii="Arial" w:hAnsi="Arial" w:cs="Arial"/>
          <w:bCs/>
          <w:sz w:val="20"/>
          <w:szCs w:val="20"/>
          <w:lang w:val="en-US"/>
        </w:rPr>
      </w:pPr>
      <w:r>
        <w:rPr>
          <w:rFonts w:ascii="Arial" w:hAnsi="Arial" w:cs="Arial"/>
          <w:bCs/>
          <w:sz w:val="20"/>
          <w:szCs w:val="20"/>
          <w:lang w:val="en-US"/>
        </w:rPr>
        <w:t>Note the total population</w:t>
      </w:r>
    </w:p>
    <w:p w14:paraId="62EB50B0" w14:textId="2EF6BE81" w:rsidR="009E680E" w:rsidRDefault="00B464FB" w:rsidP="00A6629D">
      <w:pPr>
        <w:pStyle w:val="Default"/>
        <w:numPr>
          <w:ilvl w:val="0"/>
          <w:numId w:val="14"/>
        </w:numPr>
        <w:spacing w:before="120"/>
        <w:ind w:right="45"/>
        <w:jc w:val="both"/>
        <w:rPr>
          <w:rFonts w:ascii="Arial" w:hAnsi="Arial" w:cs="Arial"/>
          <w:bCs/>
          <w:sz w:val="20"/>
          <w:szCs w:val="20"/>
          <w:lang w:val="en-US"/>
        </w:rPr>
      </w:pPr>
      <w:r>
        <w:rPr>
          <w:rFonts w:ascii="Arial" w:hAnsi="Arial" w:cs="Arial"/>
          <w:bCs/>
          <w:sz w:val="20"/>
          <w:szCs w:val="20"/>
          <w:lang w:val="en-US"/>
        </w:rPr>
        <w:t xml:space="preserve">Define </w:t>
      </w:r>
      <w:r w:rsidR="00336E53">
        <w:rPr>
          <w:rFonts w:ascii="Arial" w:hAnsi="Arial" w:cs="Arial"/>
          <w:bCs/>
          <w:sz w:val="20"/>
          <w:szCs w:val="20"/>
          <w:lang w:val="en-US"/>
        </w:rPr>
        <w:t xml:space="preserve">the targeted population for IRS. </w:t>
      </w:r>
    </w:p>
    <w:p w14:paraId="3D047D3F" w14:textId="333A696D" w:rsidR="00705A72" w:rsidRDefault="00C06C17" w:rsidP="00A6629D">
      <w:pPr>
        <w:pStyle w:val="Default"/>
        <w:numPr>
          <w:ilvl w:val="1"/>
          <w:numId w:val="14"/>
        </w:numPr>
        <w:spacing w:before="120"/>
        <w:ind w:right="45"/>
        <w:jc w:val="both"/>
        <w:rPr>
          <w:rFonts w:ascii="Arial" w:hAnsi="Arial" w:cs="Arial"/>
          <w:bCs/>
          <w:sz w:val="20"/>
          <w:szCs w:val="20"/>
          <w:lang w:val="en-US"/>
        </w:rPr>
      </w:pPr>
      <w:r w:rsidRPr="006869FB">
        <w:rPr>
          <w:rFonts w:ascii="Arial" w:hAnsi="Arial" w:cs="Arial"/>
          <w:bCs/>
          <w:sz w:val="20"/>
          <w:szCs w:val="20"/>
          <w:lang w:val="en-US"/>
        </w:rPr>
        <w:t>Based on the program</w:t>
      </w:r>
      <w:r w:rsidR="00A97C34" w:rsidRPr="006869FB">
        <w:rPr>
          <w:rFonts w:ascii="Arial" w:hAnsi="Arial" w:cs="Arial"/>
          <w:bCs/>
          <w:sz w:val="20"/>
          <w:szCs w:val="20"/>
          <w:lang w:val="en-US"/>
        </w:rPr>
        <w:t>me</w:t>
      </w:r>
      <w:r w:rsidRPr="006869FB">
        <w:rPr>
          <w:rFonts w:ascii="Arial" w:hAnsi="Arial" w:cs="Arial"/>
          <w:bCs/>
          <w:sz w:val="20"/>
          <w:szCs w:val="20"/>
          <w:lang w:val="en-US"/>
        </w:rPr>
        <w:t xml:space="preserve"> need and objectives the IRS strategy may be universal coverage of all malaria risk districts and population</w:t>
      </w:r>
      <w:r w:rsidR="00C73540" w:rsidRPr="006869FB">
        <w:rPr>
          <w:rFonts w:ascii="Arial" w:hAnsi="Arial" w:cs="Arial"/>
          <w:bCs/>
          <w:sz w:val="20"/>
          <w:szCs w:val="20"/>
          <w:lang w:val="en-US"/>
        </w:rPr>
        <w:t>s</w:t>
      </w:r>
      <w:r w:rsidRPr="006869FB">
        <w:rPr>
          <w:rFonts w:ascii="Arial" w:hAnsi="Arial" w:cs="Arial"/>
          <w:bCs/>
          <w:sz w:val="20"/>
          <w:szCs w:val="20"/>
          <w:lang w:val="en-US"/>
        </w:rPr>
        <w:t xml:space="preserve"> or selected and targeted coverage of a few districts or sub-districts.</w:t>
      </w:r>
      <w:r w:rsidR="00A97C34" w:rsidRPr="006869FB">
        <w:rPr>
          <w:rFonts w:ascii="Arial" w:hAnsi="Arial" w:cs="Arial"/>
          <w:bCs/>
          <w:sz w:val="20"/>
          <w:szCs w:val="20"/>
          <w:lang w:val="en-US"/>
        </w:rPr>
        <w:t xml:space="preserve"> </w:t>
      </w:r>
      <w:r w:rsidR="00705A72" w:rsidRPr="006869FB">
        <w:rPr>
          <w:rFonts w:ascii="Arial" w:hAnsi="Arial" w:cs="Arial"/>
          <w:bCs/>
          <w:sz w:val="20"/>
          <w:szCs w:val="20"/>
          <w:lang w:val="en-US"/>
        </w:rPr>
        <w:t>The population size will increase annually based on population growth rates</w:t>
      </w:r>
    </w:p>
    <w:p w14:paraId="36681EFD" w14:textId="47A7244D" w:rsidR="00C06C17" w:rsidRPr="00705A72" w:rsidRDefault="00C06C17" w:rsidP="00A6629D">
      <w:pPr>
        <w:pStyle w:val="Default"/>
        <w:numPr>
          <w:ilvl w:val="0"/>
          <w:numId w:val="15"/>
        </w:numPr>
        <w:spacing w:before="120"/>
        <w:ind w:right="45"/>
        <w:jc w:val="both"/>
        <w:rPr>
          <w:rFonts w:ascii="Arial" w:hAnsi="Arial" w:cs="Arial"/>
          <w:bCs/>
          <w:sz w:val="20"/>
          <w:szCs w:val="20"/>
          <w:lang w:val="en-US"/>
        </w:rPr>
      </w:pPr>
      <w:r w:rsidRPr="00705A72">
        <w:rPr>
          <w:rFonts w:ascii="Arial" w:hAnsi="Arial" w:cs="Arial"/>
          <w:bCs/>
          <w:sz w:val="20"/>
          <w:szCs w:val="20"/>
          <w:lang w:val="en-US"/>
        </w:rPr>
        <w:t>Define</w:t>
      </w:r>
      <w:r w:rsidR="00971D63" w:rsidRPr="00705A72">
        <w:rPr>
          <w:rFonts w:ascii="Arial" w:hAnsi="Arial" w:cs="Arial"/>
          <w:bCs/>
          <w:sz w:val="20"/>
          <w:szCs w:val="20"/>
          <w:lang w:val="en-US"/>
        </w:rPr>
        <w:t xml:space="preserve"> the </w:t>
      </w:r>
      <w:r w:rsidRPr="00705A72">
        <w:rPr>
          <w:rFonts w:ascii="Arial" w:hAnsi="Arial" w:cs="Arial"/>
          <w:bCs/>
          <w:sz w:val="20"/>
          <w:szCs w:val="20"/>
          <w:lang w:val="en-US"/>
        </w:rPr>
        <w:t>n</w:t>
      </w:r>
      <w:r w:rsidR="00C73540" w:rsidRPr="00705A72">
        <w:rPr>
          <w:rFonts w:ascii="Arial" w:hAnsi="Arial" w:cs="Arial"/>
          <w:bCs/>
          <w:sz w:val="20"/>
          <w:szCs w:val="20"/>
          <w:lang w:val="en-US"/>
        </w:rPr>
        <w:t>umber</w:t>
      </w:r>
      <w:r w:rsidRPr="00705A72">
        <w:rPr>
          <w:rFonts w:ascii="Arial" w:hAnsi="Arial" w:cs="Arial"/>
          <w:bCs/>
          <w:sz w:val="20"/>
          <w:szCs w:val="20"/>
          <w:lang w:val="en-US"/>
        </w:rPr>
        <w:t xml:space="preserve"> of households </w:t>
      </w:r>
      <w:r w:rsidR="00705A72" w:rsidRPr="00705A72">
        <w:rPr>
          <w:rFonts w:ascii="Arial" w:hAnsi="Arial" w:cs="Arial"/>
          <w:bCs/>
          <w:sz w:val="20"/>
          <w:szCs w:val="20"/>
          <w:lang w:val="en-US"/>
        </w:rPr>
        <w:t xml:space="preserve">in IRS targeted areas. </w:t>
      </w:r>
      <w:r w:rsidRPr="00705A72">
        <w:rPr>
          <w:rFonts w:ascii="Arial" w:hAnsi="Arial" w:cs="Arial"/>
          <w:bCs/>
          <w:sz w:val="20"/>
          <w:szCs w:val="20"/>
          <w:lang w:val="en-US"/>
        </w:rPr>
        <w:t xml:space="preserve">Traditional housing and urban housing vary </w:t>
      </w:r>
      <w:r w:rsidR="000F6493" w:rsidRPr="00705A72">
        <w:rPr>
          <w:rFonts w:ascii="Arial" w:hAnsi="Arial" w:cs="Arial"/>
          <w:bCs/>
          <w:sz w:val="20"/>
          <w:szCs w:val="20"/>
          <w:lang w:val="en-US"/>
        </w:rPr>
        <w:t xml:space="preserve">with </w:t>
      </w:r>
      <w:r w:rsidRPr="00705A72">
        <w:rPr>
          <w:rFonts w:ascii="Arial" w:hAnsi="Arial" w:cs="Arial"/>
          <w:bCs/>
          <w:sz w:val="20"/>
          <w:szCs w:val="20"/>
          <w:lang w:val="en-US"/>
        </w:rPr>
        <w:t xml:space="preserve">regards </w:t>
      </w:r>
      <w:r w:rsidR="000F6493" w:rsidRPr="00705A72">
        <w:rPr>
          <w:rFonts w:ascii="Arial" w:hAnsi="Arial" w:cs="Arial"/>
          <w:bCs/>
          <w:sz w:val="20"/>
          <w:szCs w:val="20"/>
          <w:lang w:val="en-US"/>
        </w:rPr>
        <w:t xml:space="preserve">to </w:t>
      </w:r>
      <w:r w:rsidRPr="00705A72">
        <w:rPr>
          <w:rFonts w:ascii="Arial" w:hAnsi="Arial" w:cs="Arial"/>
          <w:bCs/>
          <w:sz w:val="20"/>
          <w:szCs w:val="20"/>
          <w:lang w:val="en-US"/>
        </w:rPr>
        <w:t>size</w:t>
      </w:r>
      <w:r w:rsidR="000F6493" w:rsidRPr="00705A72">
        <w:rPr>
          <w:rFonts w:ascii="Arial" w:hAnsi="Arial" w:cs="Arial"/>
          <w:bCs/>
          <w:sz w:val="20"/>
          <w:szCs w:val="20"/>
          <w:lang w:val="en-US"/>
        </w:rPr>
        <w:t xml:space="preserve">, </w:t>
      </w:r>
      <w:proofErr w:type="gramStart"/>
      <w:r w:rsidRPr="00705A72">
        <w:rPr>
          <w:rFonts w:ascii="Arial" w:hAnsi="Arial" w:cs="Arial"/>
          <w:bCs/>
          <w:sz w:val="20"/>
          <w:szCs w:val="20"/>
          <w:lang w:val="en-US"/>
        </w:rPr>
        <w:t>surfaces</w:t>
      </w:r>
      <w:proofErr w:type="gramEnd"/>
      <w:r w:rsidRPr="00705A72">
        <w:rPr>
          <w:rFonts w:ascii="Arial" w:hAnsi="Arial" w:cs="Arial"/>
          <w:bCs/>
          <w:sz w:val="20"/>
          <w:szCs w:val="20"/>
          <w:lang w:val="en-US"/>
        </w:rPr>
        <w:t xml:space="preserve"> and </w:t>
      </w:r>
      <w:r w:rsidR="005F2972" w:rsidRPr="00705A72">
        <w:rPr>
          <w:rFonts w:ascii="Arial" w:hAnsi="Arial" w:cs="Arial"/>
          <w:bCs/>
          <w:sz w:val="20"/>
          <w:szCs w:val="20"/>
          <w:lang w:val="en-US"/>
        </w:rPr>
        <w:t>appropriate type</w:t>
      </w:r>
      <w:r w:rsidRPr="00705A72">
        <w:rPr>
          <w:rFonts w:ascii="Arial" w:hAnsi="Arial" w:cs="Arial"/>
          <w:bCs/>
          <w:sz w:val="20"/>
          <w:szCs w:val="20"/>
          <w:lang w:val="en-US"/>
        </w:rPr>
        <w:t xml:space="preserve"> </w:t>
      </w:r>
      <w:r w:rsidR="00CF126C" w:rsidRPr="00705A72">
        <w:rPr>
          <w:rFonts w:ascii="Arial" w:hAnsi="Arial" w:cs="Arial"/>
          <w:bCs/>
          <w:sz w:val="20"/>
          <w:szCs w:val="20"/>
          <w:lang w:val="en-US"/>
        </w:rPr>
        <w:t>of insecticide</w:t>
      </w:r>
      <w:r w:rsidRPr="00705A72">
        <w:rPr>
          <w:rFonts w:ascii="Arial" w:hAnsi="Arial" w:cs="Arial"/>
          <w:bCs/>
          <w:sz w:val="20"/>
          <w:szCs w:val="20"/>
          <w:lang w:val="en-US"/>
        </w:rPr>
        <w:t xml:space="preserve"> to be used  </w:t>
      </w:r>
    </w:p>
    <w:p w14:paraId="0DC27675" w14:textId="46ED8FA8" w:rsidR="00C06C17" w:rsidRPr="00307774" w:rsidRDefault="00C06C17" w:rsidP="00A6629D">
      <w:pPr>
        <w:pStyle w:val="Default"/>
        <w:numPr>
          <w:ilvl w:val="0"/>
          <w:numId w:val="15"/>
        </w:numPr>
        <w:spacing w:before="120"/>
        <w:ind w:right="45"/>
        <w:jc w:val="both"/>
        <w:rPr>
          <w:rFonts w:ascii="Arial" w:hAnsi="Arial" w:cs="Arial"/>
          <w:bCs/>
          <w:sz w:val="20"/>
          <w:szCs w:val="20"/>
          <w:lang w:val="en-US"/>
        </w:rPr>
      </w:pPr>
      <w:r w:rsidRPr="00307774">
        <w:rPr>
          <w:rFonts w:ascii="Arial" w:hAnsi="Arial" w:cs="Arial"/>
          <w:bCs/>
          <w:sz w:val="20"/>
          <w:szCs w:val="20"/>
          <w:lang w:val="en-US"/>
        </w:rPr>
        <w:t>Quantify the average area of sprayable surface (m2)</w:t>
      </w:r>
      <w:r w:rsidR="00A97C34" w:rsidRPr="00307774">
        <w:rPr>
          <w:rFonts w:ascii="Arial" w:hAnsi="Arial" w:cs="Arial"/>
          <w:bCs/>
          <w:sz w:val="20"/>
          <w:szCs w:val="20"/>
          <w:lang w:val="en-US"/>
        </w:rPr>
        <w:t xml:space="preserve"> </w:t>
      </w:r>
      <w:r w:rsidRPr="00307774">
        <w:rPr>
          <w:rFonts w:ascii="Arial" w:hAnsi="Arial" w:cs="Arial"/>
          <w:bCs/>
          <w:sz w:val="20"/>
          <w:szCs w:val="20"/>
          <w:lang w:val="en-US"/>
        </w:rPr>
        <w:t>of structures and n</w:t>
      </w:r>
      <w:r w:rsidR="000F6493" w:rsidRPr="00307774">
        <w:rPr>
          <w:rFonts w:ascii="Arial" w:hAnsi="Arial" w:cs="Arial"/>
          <w:bCs/>
          <w:sz w:val="20"/>
          <w:szCs w:val="20"/>
          <w:lang w:val="en-US"/>
        </w:rPr>
        <w:t>umber</w:t>
      </w:r>
      <w:r w:rsidRPr="00307774">
        <w:rPr>
          <w:rFonts w:ascii="Arial" w:hAnsi="Arial" w:cs="Arial"/>
          <w:bCs/>
          <w:sz w:val="20"/>
          <w:szCs w:val="20"/>
          <w:lang w:val="en-US"/>
        </w:rPr>
        <w:t xml:space="preserve"> of </w:t>
      </w:r>
      <w:r w:rsidR="005F2972" w:rsidRPr="00307774">
        <w:rPr>
          <w:rFonts w:ascii="Arial" w:hAnsi="Arial" w:cs="Arial"/>
          <w:bCs/>
          <w:sz w:val="20"/>
          <w:szCs w:val="20"/>
          <w:lang w:val="en-US"/>
        </w:rPr>
        <w:t>structures in</w:t>
      </w:r>
      <w:r w:rsidRPr="00307774">
        <w:rPr>
          <w:rFonts w:ascii="Arial" w:hAnsi="Arial" w:cs="Arial"/>
          <w:bCs/>
          <w:sz w:val="20"/>
          <w:szCs w:val="20"/>
          <w:lang w:val="en-US"/>
        </w:rPr>
        <w:t xml:space="preserve"> target areas</w:t>
      </w:r>
      <w:r w:rsidR="00307774" w:rsidRPr="00307774">
        <w:rPr>
          <w:rFonts w:ascii="Arial" w:hAnsi="Arial" w:cs="Arial"/>
          <w:bCs/>
          <w:sz w:val="20"/>
          <w:szCs w:val="20"/>
          <w:lang w:val="en-US"/>
        </w:rPr>
        <w:t xml:space="preserve">. </w:t>
      </w:r>
    </w:p>
    <w:p w14:paraId="3237182B" w14:textId="3FD56E3F" w:rsidR="00C06C17" w:rsidRPr="00307774" w:rsidRDefault="00C06C17" w:rsidP="00A6629D">
      <w:pPr>
        <w:pStyle w:val="Default"/>
        <w:numPr>
          <w:ilvl w:val="0"/>
          <w:numId w:val="15"/>
        </w:numPr>
        <w:spacing w:before="120"/>
        <w:ind w:right="45"/>
        <w:jc w:val="both"/>
        <w:rPr>
          <w:rFonts w:ascii="Arial" w:hAnsi="Arial" w:cs="Arial"/>
          <w:bCs/>
          <w:sz w:val="20"/>
          <w:szCs w:val="20"/>
          <w:lang w:val="en-US"/>
        </w:rPr>
      </w:pPr>
      <w:r w:rsidRPr="00307774">
        <w:rPr>
          <w:rFonts w:ascii="Arial" w:hAnsi="Arial" w:cs="Arial"/>
          <w:bCs/>
          <w:sz w:val="20"/>
          <w:szCs w:val="20"/>
          <w:lang w:val="en-US"/>
        </w:rPr>
        <w:t>Define the number of IRS cycle</w:t>
      </w:r>
      <w:r w:rsidR="00A97C34" w:rsidRPr="00307774">
        <w:rPr>
          <w:rFonts w:ascii="Arial" w:hAnsi="Arial" w:cs="Arial"/>
          <w:bCs/>
          <w:sz w:val="20"/>
          <w:szCs w:val="20"/>
          <w:lang w:val="en-US"/>
        </w:rPr>
        <w:t>s</w:t>
      </w:r>
      <w:r w:rsidRPr="00307774">
        <w:rPr>
          <w:rFonts w:ascii="Arial" w:hAnsi="Arial" w:cs="Arial"/>
          <w:bCs/>
          <w:sz w:val="20"/>
          <w:szCs w:val="20"/>
          <w:lang w:val="en-US"/>
        </w:rPr>
        <w:t xml:space="preserve"> per year</w:t>
      </w:r>
      <w:r w:rsidR="00307774" w:rsidRPr="00307774">
        <w:rPr>
          <w:rFonts w:ascii="Arial" w:hAnsi="Arial" w:cs="Arial"/>
          <w:bCs/>
          <w:sz w:val="20"/>
          <w:szCs w:val="20"/>
          <w:lang w:val="en-US"/>
        </w:rPr>
        <w:t xml:space="preserve">. </w:t>
      </w:r>
      <w:r w:rsidRPr="00307774">
        <w:rPr>
          <w:rFonts w:ascii="Arial" w:hAnsi="Arial" w:cs="Arial"/>
          <w:bCs/>
          <w:sz w:val="20"/>
          <w:szCs w:val="20"/>
          <w:lang w:val="en-US"/>
        </w:rPr>
        <w:t>The assumption depends on malaria transmission and insecticide duration of effective action. In areas of seasonal malaria transmission one spray round is sufficient but areas with transmission seasons longer than 8 months</w:t>
      </w:r>
      <w:r w:rsidR="00FC3088" w:rsidRPr="00307774">
        <w:rPr>
          <w:rFonts w:ascii="Arial" w:hAnsi="Arial" w:cs="Arial"/>
          <w:bCs/>
          <w:sz w:val="20"/>
          <w:szCs w:val="20"/>
          <w:lang w:val="en-US"/>
        </w:rPr>
        <w:t xml:space="preserve"> or two seasonal peaks</w:t>
      </w:r>
      <w:r w:rsidRPr="00307774">
        <w:rPr>
          <w:rFonts w:ascii="Arial" w:hAnsi="Arial" w:cs="Arial"/>
          <w:bCs/>
          <w:sz w:val="20"/>
          <w:szCs w:val="20"/>
          <w:lang w:val="en-US"/>
        </w:rPr>
        <w:t>, more than one spray round may be necessary.</w:t>
      </w:r>
    </w:p>
    <w:p w14:paraId="571D12C1" w14:textId="462B7248" w:rsidR="00C06C17" w:rsidRPr="00307774" w:rsidRDefault="00C06C17" w:rsidP="00A6629D">
      <w:pPr>
        <w:pStyle w:val="Default"/>
        <w:numPr>
          <w:ilvl w:val="0"/>
          <w:numId w:val="15"/>
        </w:numPr>
        <w:spacing w:before="120"/>
        <w:ind w:right="45"/>
        <w:jc w:val="both"/>
        <w:rPr>
          <w:rFonts w:ascii="Arial" w:hAnsi="Arial" w:cs="Arial"/>
          <w:bCs/>
          <w:sz w:val="20"/>
          <w:szCs w:val="20"/>
          <w:lang w:val="en-US"/>
        </w:rPr>
      </w:pPr>
      <w:r w:rsidRPr="00307774">
        <w:rPr>
          <w:rFonts w:ascii="Arial" w:hAnsi="Arial" w:cs="Arial"/>
          <w:bCs/>
          <w:sz w:val="20"/>
          <w:szCs w:val="20"/>
          <w:lang w:val="en-US"/>
        </w:rPr>
        <w:t>Once the target districts and populations to be protected, structures to be sprayed, and cycles per year are determined, guidance and tools are available to calculate the human and financial resources required for insecticide, equipment, personnel, operational costs,</w:t>
      </w:r>
      <w:r w:rsidR="00C4527A">
        <w:rPr>
          <w:rFonts w:ascii="Arial" w:hAnsi="Arial" w:cs="Arial"/>
          <w:bCs/>
          <w:sz w:val="20"/>
          <w:szCs w:val="20"/>
          <w:lang w:val="en-US"/>
        </w:rPr>
        <w:t xml:space="preserve"> waste management,</w:t>
      </w:r>
      <w:r w:rsidRPr="00307774">
        <w:rPr>
          <w:rFonts w:ascii="Arial" w:hAnsi="Arial" w:cs="Arial"/>
          <w:bCs/>
          <w:sz w:val="20"/>
          <w:szCs w:val="20"/>
          <w:lang w:val="en-US"/>
        </w:rPr>
        <w:t xml:space="preserve"> monitoring and evaluation</w:t>
      </w:r>
      <w:r w:rsidR="00FC3088" w:rsidRPr="00307774">
        <w:rPr>
          <w:rFonts w:ascii="Arial" w:hAnsi="Arial" w:cs="Arial"/>
          <w:bCs/>
          <w:sz w:val="20"/>
          <w:szCs w:val="20"/>
          <w:lang w:val="en-US"/>
        </w:rPr>
        <w:t>,</w:t>
      </w:r>
      <w:r w:rsidRPr="00307774">
        <w:rPr>
          <w:rFonts w:ascii="Arial" w:hAnsi="Arial" w:cs="Arial"/>
          <w:bCs/>
          <w:sz w:val="20"/>
          <w:szCs w:val="20"/>
          <w:lang w:val="en-US"/>
        </w:rPr>
        <w:t xml:space="preserve"> etc.</w:t>
      </w:r>
      <w:r w:rsidR="000E33E2">
        <w:rPr>
          <w:rFonts w:ascii="Arial" w:hAnsi="Arial" w:cs="Arial"/>
          <w:bCs/>
          <w:sz w:val="20"/>
          <w:szCs w:val="20"/>
          <w:lang w:val="en-US"/>
        </w:rPr>
        <w:t xml:space="preserve"> </w:t>
      </w:r>
      <w:r w:rsidRPr="00307774">
        <w:rPr>
          <w:rFonts w:ascii="Arial" w:hAnsi="Arial" w:cs="Arial"/>
          <w:bCs/>
          <w:sz w:val="20"/>
          <w:szCs w:val="20"/>
          <w:lang w:val="en-US"/>
        </w:rPr>
        <w:t xml:space="preserve">Refer </w:t>
      </w:r>
      <w:r w:rsidR="00A765F6" w:rsidRPr="00307774">
        <w:rPr>
          <w:rFonts w:ascii="Arial" w:hAnsi="Arial" w:cs="Arial"/>
          <w:bCs/>
          <w:sz w:val="20"/>
          <w:szCs w:val="20"/>
          <w:lang w:val="en-US"/>
        </w:rPr>
        <w:t xml:space="preserve">to the </w:t>
      </w:r>
      <w:r w:rsidRPr="00307774">
        <w:rPr>
          <w:rFonts w:ascii="Arial" w:hAnsi="Arial" w:cs="Arial"/>
          <w:bCs/>
          <w:sz w:val="20"/>
          <w:szCs w:val="20"/>
          <w:lang w:val="en-US"/>
        </w:rPr>
        <w:t xml:space="preserve">WHO operational manual on Indoor Residual House </w:t>
      </w:r>
      <w:r w:rsidR="00FC3088" w:rsidRPr="00307774">
        <w:rPr>
          <w:rFonts w:ascii="Arial" w:hAnsi="Arial" w:cs="Arial"/>
          <w:bCs/>
          <w:sz w:val="20"/>
          <w:szCs w:val="20"/>
          <w:lang w:val="en-US"/>
        </w:rPr>
        <w:t>S</w:t>
      </w:r>
      <w:r w:rsidRPr="00307774">
        <w:rPr>
          <w:rFonts w:ascii="Arial" w:hAnsi="Arial" w:cs="Arial"/>
          <w:bCs/>
          <w:sz w:val="20"/>
          <w:szCs w:val="20"/>
          <w:lang w:val="en-US"/>
        </w:rPr>
        <w:t xml:space="preserve">praying </w:t>
      </w:r>
      <w:r w:rsidR="007438ED">
        <w:rPr>
          <w:rFonts w:ascii="Arial" w:hAnsi="Arial" w:cs="Arial"/>
          <w:bCs/>
          <w:sz w:val="20"/>
          <w:szCs w:val="20"/>
          <w:lang w:val="en-US"/>
        </w:rPr>
        <w:t>(</w:t>
      </w:r>
      <w:r w:rsidR="007438ED" w:rsidRPr="007438ED">
        <w:rPr>
          <w:rFonts w:ascii="Arial" w:hAnsi="Arial" w:cs="Arial"/>
          <w:bCs/>
          <w:sz w:val="20"/>
          <w:szCs w:val="20"/>
          <w:lang w:val="en-US"/>
        </w:rPr>
        <w:t>https://www.who.int/publications/i/item/9789241508940</w:t>
      </w:r>
      <w:r w:rsidR="007438ED">
        <w:rPr>
          <w:rFonts w:ascii="Arial" w:hAnsi="Arial" w:cs="Arial"/>
          <w:bCs/>
          <w:sz w:val="20"/>
          <w:szCs w:val="20"/>
          <w:lang w:val="en-US"/>
        </w:rPr>
        <w:t>)</w:t>
      </w:r>
    </w:p>
    <w:p w14:paraId="6CC5E6A5" w14:textId="63C67978" w:rsidR="00C06C17" w:rsidRPr="000E33E2" w:rsidRDefault="00C06C17" w:rsidP="00A6629D">
      <w:pPr>
        <w:pStyle w:val="Default"/>
        <w:numPr>
          <w:ilvl w:val="0"/>
          <w:numId w:val="15"/>
        </w:numPr>
        <w:spacing w:before="120"/>
        <w:ind w:right="45"/>
        <w:jc w:val="both"/>
        <w:rPr>
          <w:rFonts w:ascii="Arial" w:hAnsi="Arial" w:cs="Arial"/>
          <w:bCs/>
          <w:sz w:val="20"/>
          <w:szCs w:val="20"/>
          <w:lang w:val="en-US"/>
        </w:rPr>
      </w:pPr>
      <w:r w:rsidRPr="000E33E2">
        <w:rPr>
          <w:rFonts w:ascii="Arial" w:hAnsi="Arial" w:cs="Arial"/>
          <w:bCs/>
          <w:sz w:val="20"/>
          <w:szCs w:val="20"/>
          <w:lang w:val="en-US"/>
        </w:rPr>
        <w:t>Quantify IRS chemical needs for every year of the implementation plan</w:t>
      </w:r>
      <w:r w:rsidR="00307774" w:rsidRPr="000E33E2">
        <w:rPr>
          <w:rFonts w:ascii="Arial" w:hAnsi="Arial" w:cs="Arial"/>
          <w:bCs/>
          <w:sz w:val="20"/>
          <w:szCs w:val="20"/>
          <w:lang w:val="en-US"/>
        </w:rPr>
        <w:t xml:space="preserve">. </w:t>
      </w:r>
      <w:r w:rsidRPr="000E33E2">
        <w:rPr>
          <w:rFonts w:ascii="Arial" w:hAnsi="Arial" w:cs="Arial"/>
          <w:bCs/>
          <w:sz w:val="20"/>
          <w:szCs w:val="20"/>
          <w:lang w:val="en-US"/>
        </w:rPr>
        <w:t>This is calculated based on total number of households and the total sprayable surface area</w:t>
      </w:r>
      <w:r w:rsidR="000E33E2" w:rsidRPr="000E33E2">
        <w:rPr>
          <w:rFonts w:ascii="Arial" w:hAnsi="Arial" w:cs="Arial"/>
          <w:bCs/>
          <w:sz w:val="20"/>
          <w:szCs w:val="20"/>
          <w:lang w:val="en-US"/>
        </w:rPr>
        <w:t xml:space="preserve">. </w:t>
      </w:r>
      <w:r w:rsidRPr="000E33E2">
        <w:rPr>
          <w:rFonts w:ascii="Arial" w:hAnsi="Arial" w:cs="Arial"/>
          <w:bCs/>
          <w:sz w:val="20"/>
          <w:szCs w:val="20"/>
          <w:lang w:val="en-US"/>
        </w:rPr>
        <w:t>This is also based on type of insecticide used and the concentration of active ingredients dosage required per meter sq</w:t>
      </w:r>
      <w:r w:rsidR="007B348F" w:rsidRPr="000E33E2">
        <w:rPr>
          <w:rFonts w:ascii="Arial" w:hAnsi="Arial" w:cs="Arial"/>
          <w:bCs/>
          <w:sz w:val="20"/>
          <w:szCs w:val="20"/>
          <w:lang w:val="en-US"/>
        </w:rPr>
        <w:t>uare</w:t>
      </w:r>
      <w:r w:rsidR="00231B1C" w:rsidRPr="000E33E2">
        <w:rPr>
          <w:rFonts w:ascii="Arial" w:hAnsi="Arial" w:cs="Arial"/>
          <w:bCs/>
          <w:sz w:val="20"/>
          <w:szCs w:val="20"/>
          <w:lang w:val="en-US"/>
        </w:rPr>
        <w:t>d</w:t>
      </w:r>
      <w:r w:rsidRPr="000E33E2">
        <w:rPr>
          <w:rFonts w:ascii="Arial" w:hAnsi="Arial" w:cs="Arial"/>
          <w:bCs/>
          <w:sz w:val="20"/>
          <w:szCs w:val="20"/>
          <w:lang w:val="en-US"/>
        </w:rPr>
        <w:t xml:space="preserve"> and the number of sachets</w:t>
      </w:r>
      <w:r w:rsidR="00231B1C" w:rsidRPr="000E33E2">
        <w:rPr>
          <w:rFonts w:ascii="Arial" w:hAnsi="Arial" w:cs="Arial"/>
          <w:bCs/>
          <w:sz w:val="20"/>
          <w:szCs w:val="20"/>
          <w:lang w:val="en-US"/>
        </w:rPr>
        <w:t>/bottles</w:t>
      </w:r>
      <w:r w:rsidRPr="000E33E2">
        <w:rPr>
          <w:rFonts w:ascii="Arial" w:hAnsi="Arial" w:cs="Arial"/>
          <w:bCs/>
          <w:sz w:val="20"/>
          <w:szCs w:val="20"/>
          <w:lang w:val="en-US"/>
        </w:rPr>
        <w:t xml:space="preserve"> required</w:t>
      </w:r>
      <w:r w:rsidR="003379C1" w:rsidRPr="000E33E2">
        <w:rPr>
          <w:rFonts w:ascii="Arial" w:hAnsi="Arial" w:cs="Arial"/>
          <w:bCs/>
          <w:sz w:val="20"/>
          <w:szCs w:val="20"/>
          <w:lang w:val="en-US"/>
        </w:rPr>
        <w:t xml:space="preserve"> per</w:t>
      </w:r>
      <w:r w:rsidRPr="000E33E2">
        <w:rPr>
          <w:rFonts w:ascii="Arial" w:hAnsi="Arial" w:cs="Arial"/>
          <w:bCs/>
          <w:sz w:val="20"/>
          <w:szCs w:val="20"/>
          <w:lang w:val="en-US"/>
        </w:rPr>
        <w:t xml:space="preserve"> household. </w:t>
      </w:r>
      <w:r w:rsidR="00B464FB">
        <w:rPr>
          <w:rFonts w:ascii="Arial" w:hAnsi="Arial" w:cs="Arial"/>
          <w:bCs/>
          <w:sz w:val="20"/>
          <w:szCs w:val="20"/>
          <w:lang w:val="en-US"/>
        </w:rPr>
        <w:t xml:space="preserve">Look </w:t>
      </w:r>
      <w:r w:rsidRPr="000E33E2">
        <w:rPr>
          <w:rFonts w:ascii="Arial" w:hAnsi="Arial" w:cs="Arial"/>
          <w:bCs/>
          <w:sz w:val="20"/>
          <w:szCs w:val="20"/>
          <w:lang w:val="en-US"/>
        </w:rPr>
        <w:t xml:space="preserve">at </w:t>
      </w:r>
      <w:r w:rsidR="00B464FB">
        <w:rPr>
          <w:rFonts w:ascii="Arial" w:hAnsi="Arial" w:cs="Arial"/>
          <w:bCs/>
          <w:sz w:val="20"/>
          <w:szCs w:val="20"/>
          <w:lang w:val="en-US"/>
        </w:rPr>
        <w:t xml:space="preserve">the </w:t>
      </w:r>
      <w:r w:rsidRPr="000E33E2">
        <w:rPr>
          <w:rFonts w:ascii="Arial" w:hAnsi="Arial" w:cs="Arial"/>
          <w:bCs/>
          <w:sz w:val="20"/>
          <w:szCs w:val="20"/>
          <w:lang w:val="en-US"/>
        </w:rPr>
        <w:t>insecticide manufacture</w:t>
      </w:r>
      <w:r w:rsidR="00231B1C" w:rsidRPr="000E33E2">
        <w:rPr>
          <w:rFonts w:ascii="Arial" w:hAnsi="Arial" w:cs="Arial"/>
          <w:bCs/>
          <w:sz w:val="20"/>
          <w:szCs w:val="20"/>
          <w:lang w:val="en-US"/>
        </w:rPr>
        <w:t>r</w:t>
      </w:r>
      <w:r w:rsidRPr="000E33E2">
        <w:rPr>
          <w:rFonts w:ascii="Arial" w:hAnsi="Arial" w:cs="Arial"/>
          <w:bCs/>
          <w:sz w:val="20"/>
          <w:szCs w:val="20"/>
          <w:lang w:val="en-US"/>
        </w:rPr>
        <w:t>s</w:t>
      </w:r>
      <w:r w:rsidR="00231B1C" w:rsidRPr="000E33E2">
        <w:rPr>
          <w:rFonts w:ascii="Arial" w:hAnsi="Arial" w:cs="Arial"/>
          <w:bCs/>
          <w:sz w:val="20"/>
          <w:szCs w:val="20"/>
          <w:lang w:val="en-US"/>
        </w:rPr>
        <w:t>’</w:t>
      </w:r>
      <w:r w:rsidRPr="000E33E2">
        <w:rPr>
          <w:rFonts w:ascii="Arial" w:hAnsi="Arial" w:cs="Arial"/>
          <w:bCs/>
          <w:sz w:val="20"/>
          <w:szCs w:val="20"/>
          <w:lang w:val="en-US"/>
        </w:rPr>
        <w:t xml:space="preserve"> guidelines and product labels for more specific guidance. Costs should include transport, </w:t>
      </w:r>
      <w:proofErr w:type="gramStart"/>
      <w:r w:rsidRPr="000E33E2">
        <w:rPr>
          <w:rFonts w:ascii="Arial" w:hAnsi="Arial" w:cs="Arial"/>
          <w:bCs/>
          <w:sz w:val="20"/>
          <w:szCs w:val="20"/>
          <w:lang w:val="en-US"/>
        </w:rPr>
        <w:t>storage</w:t>
      </w:r>
      <w:proofErr w:type="gramEnd"/>
      <w:r w:rsidRPr="000E33E2">
        <w:rPr>
          <w:rFonts w:ascii="Arial" w:hAnsi="Arial" w:cs="Arial"/>
          <w:bCs/>
          <w:sz w:val="20"/>
          <w:szCs w:val="20"/>
          <w:lang w:val="en-US"/>
        </w:rPr>
        <w:t xml:space="preserve"> and disposal. </w:t>
      </w:r>
    </w:p>
    <w:p w14:paraId="3C9BDE36" w14:textId="502EEB53" w:rsidR="00C06C17" w:rsidRPr="00B5077D" w:rsidRDefault="001C677A" w:rsidP="00A6629D">
      <w:pPr>
        <w:pStyle w:val="Default"/>
        <w:numPr>
          <w:ilvl w:val="0"/>
          <w:numId w:val="15"/>
        </w:numPr>
        <w:spacing w:before="120"/>
        <w:ind w:right="45"/>
        <w:jc w:val="both"/>
        <w:rPr>
          <w:rFonts w:ascii="Arial" w:hAnsi="Arial" w:cs="Arial"/>
          <w:bCs/>
          <w:sz w:val="20"/>
          <w:szCs w:val="20"/>
          <w:lang w:val="en-US"/>
        </w:rPr>
      </w:pPr>
      <w:r w:rsidRPr="00B5077D">
        <w:rPr>
          <w:rFonts w:ascii="Arial" w:hAnsi="Arial" w:cs="Arial"/>
          <w:bCs/>
          <w:sz w:val="20"/>
          <w:szCs w:val="20"/>
          <w:lang w:val="en-US"/>
        </w:rPr>
        <w:t>Qu</w:t>
      </w:r>
      <w:r w:rsidR="00C06C17" w:rsidRPr="00B5077D">
        <w:rPr>
          <w:rFonts w:ascii="Arial" w:hAnsi="Arial" w:cs="Arial"/>
          <w:bCs/>
          <w:sz w:val="20"/>
          <w:szCs w:val="20"/>
          <w:lang w:val="en-US"/>
        </w:rPr>
        <w:t xml:space="preserve">antify IRS </w:t>
      </w:r>
      <w:r w:rsidR="000D21FB" w:rsidRPr="00B5077D">
        <w:rPr>
          <w:rFonts w:ascii="Arial" w:hAnsi="Arial" w:cs="Arial"/>
          <w:bCs/>
          <w:sz w:val="20"/>
          <w:szCs w:val="20"/>
          <w:lang w:val="en-US"/>
        </w:rPr>
        <w:t>s</w:t>
      </w:r>
      <w:r w:rsidR="00C06C17" w:rsidRPr="00B5077D">
        <w:rPr>
          <w:rFonts w:ascii="Arial" w:hAnsi="Arial" w:cs="Arial"/>
          <w:bCs/>
          <w:sz w:val="20"/>
          <w:szCs w:val="20"/>
          <w:lang w:val="en-US"/>
        </w:rPr>
        <w:t>pray hand compression pumps and repair kits needs for every year of the implementation plan</w:t>
      </w:r>
      <w:r w:rsidR="00CA0D54" w:rsidRPr="00B5077D">
        <w:rPr>
          <w:rFonts w:ascii="Arial" w:hAnsi="Arial" w:cs="Arial"/>
          <w:bCs/>
          <w:sz w:val="20"/>
          <w:szCs w:val="20"/>
          <w:lang w:val="en-US"/>
        </w:rPr>
        <w:t xml:space="preserve">. </w:t>
      </w:r>
      <w:r w:rsidR="00C06C17" w:rsidRPr="00B5077D">
        <w:rPr>
          <w:rFonts w:ascii="Arial" w:hAnsi="Arial" w:cs="Arial"/>
          <w:bCs/>
          <w:sz w:val="20"/>
          <w:szCs w:val="20"/>
          <w:lang w:val="en-US"/>
        </w:rPr>
        <w:t>This is calculated based on the inventory of stock of working spray pumps and those requiring repairs and the expected number of spray team</w:t>
      </w:r>
      <w:r w:rsidR="00231B1C" w:rsidRPr="00B5077D">
        <w:rPr>
          <w:rFonts w:ascii="Arial" w:hAnsi="Arial" w:cs="Arial"/>
          <w:bCs/>
          <w:sz w:val="20"/>
          <w:szCs w:val="20"/>
          <w:lang w:val="en-US"/>
        </w:rPr>
        <w:t>s</w:t>
      </w:r>
      <w:r w:rsidR="00C06C17" w:rsidRPr="00B5077D">
        <w:rPr>
          <w:rFonts w:ascii="Arial" w:hAnsi="Arial" w:cs="Arial"/>
          <w:bCs/>
          <w:sz w:val="20"/>
          <w:szCs w:val="20"/>
          <w:lang w:val="en-US"/>
        </w:rPr>
        <w:t xml:space="preserve"> to be deployed.</w:t>
      </w:r>
      <w:r w:rsidR="00CA0D54" w:rsidRPr="00B5077D">
        <w:rPr>
          <w:rFonts w:ascii="Arial" w:hAnsi="Arial" w:cs="Arial"/>
          <w:bCs/>
          <w:sz w:val="20"/>
          <w:szCs w:val="20"/>
          <w:lang w:val="en-US"/>
        </w:rPr>
        <w:t xml:space="preserve"> </w:t>
      </w:r>
      <w:r w:rsidR="00C06C17" w:rsidRPr="00B5077D">
        <w:rPr>
          <w:rFonts w:ascii="Arial" w:hAnsi="Arial" w:cs="Arial"/>
          <w:bCs/>
          <w:sz w:val="20"/>
          <w:szCs w:val="20"/>
          <w:lang w:val="en-US"/>
        </w:rPr>
        <w:t>Standard spare kits are available from manufacture</w:t>
      </w:r>
      <w:r w:rsidR="00231B1C" w:rsidRPr="00B5077D">
        <w:rPr>
          <w:rFonts w:ascii="Arial" w:hAnsi="Arial" w:cs="Arial"/>
          <w:bCs/>
          <w:sz w:val="20"/>
          <w:szCs w:val="20"/>
          <w:lang w:val="en-US"/>
        </w:rPr>
        <w:t>r</w:t>
      </w:r>
      <w:r w:rsidR="00C06C17" w:rsidRPr="00B5077D">
        <w:rPr>
          <w:rFonts w:ascii="Arial" w:hAnsi="Arial" w:cs="Arial"/>
          <w:bCs/>
          <w:sz w:val="20"/>
          <w:szCs w:val="20"/>
          <w:lang w:val="en-US"/>
        </w:rPr>
        <w:t>s for 4, 6, 8 or 10 IRS operation</w:t>
      </w:r>
      <w:r w:rsidR="00B5077D">
        <w:rPr>
          <w:rFonts w:ascii="Arial" w:hAnsi="Arial" w:cs="Arial"/>
          <w:bCs/>
          <w:sz w:val="20"/>
          <w:szCs w:val="20"/>
          <w:lang w:val="en-US"/>
        </w:rPr>
        <w:t>s</w:t>
      </w:r>
      <w:r w:rsidR="00C06C17" w:rsidRPr="00B5077D">
        <w:rPr>
          <w:rFonts w:ascii="Arial" w:hAnsi="Arial" w:cs="Arial"/>
          <w:bCs/>
          <w:sz w:val="20"/>
          <w:szCs w:val="20"/>
          <w:lang w:val="en-US"/>
        </w:rPr>
        <w:t xml:space="preserve"> teams </w:t>
      </w:r>
    </w:p>
    <w:p w14:paraId="1658940B" w14:textId="24960707" w:rsidR="00C06C17" w:rsidRPr="00B5077D" w:rsidRDefault="00C06C17" w:rsidP="00A6629D">
      <w:pPr>
        <w:pStyle w:val="Default"/>
        <w:numPr>
          <w:ilvl w:val="0"/>
          <w:numId w:val="15"/>
        </w:numPr>
        <w:spacing w:before="120"/>
        <w:ind w:right="45"/>
        <w:jc w:val="both"/>
        <w:rPr>
          <w:rFonts w:ascii="Arial" w:hAnsi="Arial" w:cs="Arial"/>
          <w:bCs/>
          <w:sz w:val="20"/>
          <w:szCs w:val="20"/>
          <w:lang w:val="en-US"/>
        </w:rPr>
      </w:pPr>
      <w:r w:rsidRPr="00B5077D">
        <w:rPr>
          <w:rFonts w:ascii="Arial" w:hAnsi="Arial" w:cs="Arial"/>
          <w:bCs/>
          <w:sz w:val="20"/>
          <w:szCs w:val="20"/>
          <w:lang w:val="en-US"/>
        </w:rPr>
        <w:t>Quantify IRS protective equipment kit needs for every year of the implementation plan</w:t>
      </w:r>
      <w:r w:rsidR="00B5077D" w:rsidRPr="00B5077D">
        <w:rPr>
          <w:rFonts w:ascii="Arial" w:hAnsi="Arial" w:cs="Arial"/>
          <w:bCs/>
          <w:sz w:val="20"/>
          <w:szCs w:val="20"/>
          <w:lang w:val="en-US"/>
        </w:rPr>
        <w:t xml:space="preserve">. </w:t>
      </w:r>
      <w:r w:rsidRPr="00B5077D">
        <w:rPr>
          <w:rFonts w:ascii="Arial" w:hAnsi="Arial" w:cs="Arial"/>
          <w:bCs/>
          <w:sz w:val="20"/>
          <w:szCs w:val="20"/>
          <w:lang w:val="en-US"/>
        </w:rPr>
        <w:t>This is calculated based on the inventory of stock of protective kit per spr</w:t>
      </w:r>
      <w:r w:rsidR="00013755" w:rsidRPr="00B5077D">
        <w:rPr>
          <w:rFonts w:ascii="Arial" w:hAnsi="Arial" w:cs="Arial"/>
          <w:bCs/>
          <w:sz w:val="20"/>
          <w:szCs w:val="20"/>
          <w:lang w:val="en-US"/>
        </w:rPr>
        <w:t>a</w:t>
      </w:r>
      <w:r w:rsidRPr="00B5077D">
        <w:rPr>
          <w:rFonts w:ascii="Arial" w:hAnsi="Arial" w:cs="Arial"/>
          <w:bCs/>
          <w:sz w:val="20"/>
          <w:szCs w:val="20"/>
          <w:lang w:val="en-US"/>
        </w:rPr>
        <w:t xml:space="preserve">y </w:t>
      </w:r>
      <w:r w:rsidR="005F2972" w:rsidRPr="00B5077D">
        <w:rPr>
          <w:rFonts w:ascii="Arial" w:hAnsi="Arial" w:cs="Arial"/>
          <w:bCs/>
          <w:sz w:val="20"/>
          <w:szCs w:val="20"/>
          <w:lang w:val="en-US"/>
        </w:rPr>
        <w:t>operator and</w:t>
      </w:r>
      <w:r w:rsidRPr="00B5077D">
        <w:rPr>
          <w:rFonts w:ascii="Arial" w:hAnsi="Arial" w:cs="Arial"/>
          <w:bCs/>
          <w:sz w:val="20"/>
          <w:szCs w:val="20"/>
          <w:lang w:val="en-US"/>
        </w:rPr>
        <w:t xml:space="preserve"> the expected number of spray </w:t>
      </w:r>
      <w:r w:rsidR="00013755" w:rsidRPr="00B5077D">
        <w:rPr>
          <w:rFonts w:ascii="Arial" w:hAnsi="Arial" w:cs="Arial"/>
          <w:bCs/>
          <w:sz w:val="20"/>
          <w:szCs w:val="20"/>
          <w:lang w:val="en-US"/>
        </w:rPr>
        <w:t xml:space="preserve">operators </w:t>
      </w:r>
      <w:r w:rsidRPr="00B5077D">
        <w:rPr>
          <w:rFonts w:ascii="Arial" w:hAnsi="Arial" w:cs="Arial"/>
          <w:bCs/>
          <w:sz w:val="20"/>
          <w:szCs w:val="20"/>
          <w:lang w:val="en-US"/>
        </w:rPr>
        <w:t>to be deployed</w:t>
      </w:r>
    </w:p>
    <w:p w14:paraId="657EC952" w14:textId="2A9870C9" w:rsidR="00C06C17" w:rsidRPr="00B5077D" w:rsidRDefault="00C06C17" w:rsidP="00A6629D">
      <w:pPr>
        <w:pStyle w:val="Default"/>
        <w:numPr>
          <w:ilvl w:val="0"/>
          <w:numId w:val="15"/>
        </w:numPr>
        <w:spacing w:before="120"/>
        <w:ind w:right="45"/>
        <w:jc w:val="both"/>
        <w:rPr>
          <w:rFonts w:ascii="Arial" w:hAnsi="Arial" w:cs="Arial"/>
          <w:bCs/>
          <w:sz w:val="20"/>
          <w:szCs w:val="20"/>
          <w:lang w:val="en-US"/>
        </w:rPr>
      </w:pPr>
      <w:r w:rsidRPr="00B5077D">
        <w:rPr>
          <w:rFonts w:ascii="Arial" w:hAnsi="Arial" w:cs="Arial"/>
          <w:bCs/>
          <w:sz w:val="20"/>
          <w:szCs w:val="20"/>
          <w:lang w:val="en-US"/>
        </w:rPr>
        <w:t>Quantify the operational and administrative costs of the annual spray campaign</w:t>
      </w:r>
      <w:r w:rsidR="00B5077D" w:rsidRPr="00B5077D">
        <w:rPr>
          <w:rFonts w:ascii="Arial" w:hAnsi="Arial" w:cs="Arial"/>
          <w:bCs/>
          <w:sz w:val="20"/>
          <w:szCs w:val="20"/>
          <w:lang w:val="en-US"/>
        </w:rPr>
        <w:t xml:space="preserve">. </w:t>
      </w:r>
      <w:r w:rsidRPr="00B5077D">
        <w:rPr>
          <w:rFonts w:ascii="Arial" w:hAnsi="Arial" w:cs="Arial"/>
          <w:bCs/>
          <w:sz w:val="20"/>
          <w:szCs w:val="20"/>
          <w:lang w:val="en-US"/>
        </w:rPr>
        <w:t>This will include all personnel costs such as spray operators</w:t>
      </w:r>
      <w:r w:rsidR="00013755" w:rsidRPr="00B5077D">
        <w:rPr>
          <w:rFonts w:ascii="Arial" w:hAnsi="Arial" w:cs="Arial"/>
          <w:bCs/>
          <w:sz w:val="20"/>
          <w:szCs w:val="20"/>
          <w:lang w:val="en-US"/>
        </w:rPr>
        <w:t>’</w:t>
      </w:r>
      <w:r w:rsidRPr="00B5077D">
        <w:rPr>
          <w:rFonts w:ascii="Arial" w:hAnsi="Arial" w:cs="Arial"/>
          <w:bCs/>
          <w:sz w:val="20"/>
          <w:szCs w:val="20"/>
          <w:lang w:val="en-US"/>
        </w:rPr>
        <w:t xml:space="preserve"> salaries and supervisors</w:t>
      </w:r>
      <w:r w:rsidR="00013755" w:rsidRPr="00B5077D">
        <w:rPr>
          <w:rFonts w:ascii="Arial" w:hAnsi="Arial" w:cs="Arial"/>
          <w:bCs/>
          <w:sz w:val="20"/>
          <w:szCs w:val="20"/>
          <w:lang w:val="en-US"/>
        </w:rPr>
        <w:t>’</w:t>
      </w:r>
      <w:r w:rsidRPr="00B5077D">
        <w:rPr>
          <w:rFonts w:ascii="Arial" w:hAnsi="Arial" w:cs="Arial"/>
          <w:bCs/>
          <w:sz w:val="20"/>
          <w:szCs w:val="20"/>
          <w:lang w:val="en-US"/>
        </w:rPr>
        <w:t xml:space="preserve"> per-diems, transport (vehicle purchase/rental, </w:t>
      </w:r>
      <w:proofErr w:type="gramStart"/>
      <w:r w:rsidRPr="00B5077D">
        <w:rPr>
          <w:rFonts w:ascii="Arial" w:hAnsi="Arial" w:cs="Arial"/>
          <w:bCs/>
          <w:sz w:val="20"/>
          <w:szCs w:val="20"/>
          <w:lang w:val="en-US"/>
        </w:rPr>
        <w:t>maintenance</w:t>
      </w:r>
      <w:proofErr w:type="gramEnd"/>
      <w:r w:rsidRPr="00B5077D">
        <w:rPr>
          <w:rFonts w:ascii="Arial" w:hAnsi="Arial" w:cs="Arial"/>
          <w:bCs/>
          <w:sz w:val="20"/>
          <w:szCs w:val="20"/>
          <w:lang w:val="en-US"/>
        </w:rPr>
        <w:t xml:space="preserve"> and fuel) as well as rental</w:t>
      </w:r>
      <w:r w:rsidR="00D6326A" w:rsidRPr="00B5077D">
        <w:rPr>
          <w:rFonts w:ascii="Arial" w:hAnsi="Arial" w:cs="Arial"/>
          <w:bCs/>
          <w:sz w:val="20"/>
          <w:szCs w:val="20"/>
          <w:lang w:val="en-US"/>
        </w:rPr>
        <w:t>, security</w:t>
      </w:r>
      <w:r w:rsidRPr="00B5077D">
        <w:rPr>
          <w:rFonts w:ascii="Arial" w:hAnsi="Arial" w:cs="Arial"/>
          <w:bCs/>
          <w:sz w:val="20"/>
          <w:szCs w:val="20"/>
          <w:lang w:val="en-US"/>
        </w:rPr>
        <w:t xml:space="preserve"> and refurbishment costs for the warehouses, staging areas, and washing areas</w:t>
      </w:r>
      <w:r w:rsidR="000D21FB" w:rsidRPr="00B5077D">
        <w:rPr>
          <w:rFonts w:ascii="Arial" w:hAnsi="Arial" w:cs="Arial"/>
          <w:bCs/>
          <w:sz w:val="20"/>
          <w:szCs w:val="20"/>
          <w:lang w:val="en-US"/>
        </w:rPr>
        <w:t xml:space="preserve"> and related waste management requirements</w:t>
      </w:r>
    </w:p>
    <w:p w14:paraId="6A0B08E0" w14:textId="63259DB1" w:rsidR="00C06C17" w:rsidRPr="00B05861" w:rsidRDefault="00C06C17" w:rsidP="00A6629D">
      <w:pPr>
        <w:pStyle w:val="Default"/>
        <w:numPr>
          <w:ilvl w:val="0"/>
          <w:numId w:val="15"/>
        </w:numPr>
        <w:spacing w:before="120"/>
        <w:ind w:right="45"/>
        <w:jc w:val="both"/>
        <w:rPr>
          <w:rFonts w:ascii="Arial" w:hAnsi="Arial" w:cs="Arial"/>
          <w:bCs/>
          <w:sz w:val="20"/>
          <w:szCs w:val="20"/>
          <w:lang w:val="en-US"/>
        </w:rPr>
      </w:pPr>
      <w:r w:rsidRPr="006B0D79">
        <w:rPr>
          <w:rFonts w:ascii="Arial" w:hAnsi="Arial" w:cs="Arial"/>
          <w:bCs/>
          <w:sz w:val="20"/>
          <w:szCs w:val="20"/>
          <w:lang w:val="en-US"/>
        </w:rPr>
        <w:t>Quantify annual cascade training and supervision costs</w:t>
      </w:r>
      <w:r w:rsidR="00BC3702" w:rsidRPr="006B0D79">
        <w:rPr>
          <w:rFonts w:ascii="Arial" w:hAnsi="Arial" w:cs="Arial"/>
          <w:bCs/>
          <w:sz w:val="20"/>
          <w:szCs w:val="20"/>
          <w:lang w:val="en-US"/>
        </w:rPr>
        <w:t xml:space="preserve">. </w:t>
      </w:r>
      <w:r w:rsidRPr="006B0D79">
        <w:rPr>
          <w:rFonts w:ascii="Arial" w:hAnsi="Arial" w:cs="Arial"/>
          <w:bCs/>
          <w:sz w:val="20"/>
          <w:szCs w:val="20"/>
          <w:lang w:val="en-US"/>
        </w:rPr>
        <w:t xml:space="preserve">This is based on </w:t>
      </w:r>
      <w:r w:rsidR="006F30A4">
        <w:rPr>
          <w:rFonts w:ascii="Arial" w:hAnsi="Arial" w:cs="Arial"/>
          <w:bCs/>
          <w:sz w:val="20"/>
          <w:szCs w:val="20"/>
          <w:lang w:val="en-US"/>
        </w:rPr>
        <w:t xml:space="preserve">an </w:t>
      </w:r>
      <w:r w:rsidR="005F2972" w:rsidRPr="006B0D79">
        <w:rPr>
          <w:rFonts w:ascii="Arial" w:hAnsi="Arial" w:cs="Arial"/>
          <w:bCs/>
          <w:sz w:val="20"/>
          <w:szCs w:val="20"/>
          <w:lang w:val="en-US"/>
        </w:rPr>
        <w:t>annual national</w:t>
      </w:r>
      <w:r w:rsidRPr="006B0D79">
        <w:rPr>
          <w:rFonts w:ascii="Arial" w:hAnsi="Arial" w:cs="Arial"/>
          <w:bCs/>
          <w:sz w:val="20"/>
          <w:szCs w:val="20"/>
          <w:lang w:val="en-US"/>
        </w:rPr>
        <w:t xml:space="preserve"> training course for training of trainers</w:t>
      </w:r>
      <w:r w:rsidR="00BC3702" w:rsidRPr="006B0D79">
        <w:rPr>
          <w:rFonts w:ascii="Arial" w:hAnsi="Arial" w:cs="Arial"/>
          <w:bCs/>
          <w:sz w:val="20"/>
          <w:szCs w:val="20"/>
          <w:lang w:val="en-US"/>
        </w:rPr>
        <w:t xml:space="preserve">, </w:t>
      </w:r>
      <w:r w:rsidRPr="006B0D79">
        <w:rPr>
          <w:rFonts w:ascii="Arial" w:hAnsi="Arial" w:cs="Arial"/>
          <w:bCs/>
          <w:sz w:val="20"/>
          <w:szCs w:val="20"/>
          <w:lang w:val="en-US"/>
        </w:rPr>
        <w:t>provincial training course for supervisors</w:t>
      </w:r>
      <w:r w:rsidR="006B0D79" w:rsidRPr="006B0D79">
        <w:rPr>
          <w:rFonts w:ascii="Arial" w:hAnsi="Arial" w:cs="Arial"/>
          <w:bCs/>
          <w:sz w:val="20"/>
          <w:szCs w:val="20"/>
          <w:lang w:val="en-US"/>
        </w:rPr>
        <w:t xml:space="preserve"> and </w:t>
      </w:r>
      <w:r w:rsidRPr="006B0D79">
        <w:rPr>
          <w:rFonts w:ascii="Arial" w:hAnsi="Arial" w:cs="Arial"/>
          <w:bCs/>
          <w:sz w:val="20"/>
          <w:szCs w:val="20"/>
          <w:lang w:val="en-US"/>
        </w:rPr>
        <w:t>district training course</w:t>
      </w:r>
      <w:r w:rsidR="006B0D79" w:rsidRPr="006B0D79">
        <w:rPr>
          <w:rFonts w:ascii="Arial" w:hAnsi="Arial" w:cs="Arial"/>
          <w:bCs/>
          <w:sz w:val="20"/>
          <w:szCs w:val="20"/>
          <w:lang w:val="en-US"/>
        </w:rPr>
        <w:t>s</w:t>
      </w:r>
      <w:r w:rsidRPr="006B0D79">
        <w:rPr>
          <w:rFonts w:ascii="Arial" w:hAnsi="Arial" w:cs="Arial"/>
          <w:bCs/>
          <w:sz w:val="20"/>
          <w:szCs w:val="20"/>
          <w:lang w:val="en-US"/>
        </w:rPr>
        <w:t xml:space="preserve"> of IRS spray operators</w:t>
      </w:r>
      <w:r w:rsidR="006B0D79" w:rsidRPr="006B0D79">
        <w:rPr>
          <w:rFonts w:ascii="Arial" w:hAnsi="Arial" w:cs="Arial"/>
          <w:bCs/>
          <w:sz w:val="20"/>
          <w:szCs w:val="20"/>
          <w:lang w:val="en-US"/>
        </w:rPr>
        <w:t xml:space="preserve">. </w:t>
      </w:r>
      <w:r w:rsidRPr="006B0D79">
        <w:rPr>
          <w:rFonts w:ascii="Arial" w:hAnsi="Arial" w:cs="Arial"/>
          <w:bCs/>
          <w:sz w:val="20"/>
          <w:szCs w:val="20"/>
          <w:lang w:val="en-US"/>
        </w:rPr>
        <w:t xml:space="preserve">Supervision includes monthly supervision to all spray teams by district supervisors and provincial and national supervisors visit to all districts at least once in </w:t>
      </w:r>
      <w:r w:rsidR="006F30A4">
        <w:rPr>
          <w:rFonts w:ascii="Arial" w:hAnsi="Arial" w:cs="Arial"/>
          <w:bCs/>
          <w:sz w:val="20"/>
          <w:szCs w:val="20"/>
          <w:lang w:val="en-US"/>
        </w:rPr>
        <w:t xml:space="preserve">a </w:t>
      </w:r>
      <w:r w:rsidRPr="006B0D79">
        <w:rPr>
          <w:rFonts w:ascii="Arial" w:hAnsi="Arial" w:cs="Arial"/>
          <w:bCs/>
          <w:sz w:val="20"/>
          <w:szCs w:val="20"/>
          <w:lang w:val="en-US"/>
        </w:rPr>
        <w:t>spray cycle</w:t>
      </w:r>
      <w:r w:rsidR="00B05861">
        <w:rPr>
          <w:rFonts w:ascii="Arial" w:hAnsi="Arial" w:cs="Arial"/>
          <w:bCs/>
          <w:sz w:val="20"/>
          <w:szCs w:val="20"/>
          <w:lang w:val="en-US"/>
        </w:rPr>
        <w:t>.</w:t>
      </w:r>
      <w:r w:rsidRPr="006B0D79">
        <w:rPr>
          <w:rFonts w:ascii="Arial" w:hAnsi="Arial" w:cs="Arial"/>
          <w:bCs/>
          <w:sz w:val="20"/>
          <w:szCs w:val="20"/>
          <w:lang w:val="en-US"/>
        </w:rPr>
        <w:t xml:space="preserve"> </w:t>
      </w:r>
      <w:r w:rsidRPr="00B05861">
        <w:rPr>
          <w:rFonts w:ascii="Arial" w:hAnsi="Arial" w:cs="Arial"/>
          <w:bCs/>
          <w:sz w:val="20"/>
          <w:szCs w:val="20"/>
          <w:lang w:val="en-US"/>
        </w:rPr>
        <w:t>This will include facilitators and supervisor travel and per-diems, materials, food, facility rental etc.</w:t>
      </w:r>
    </w:p>
    <w:p w14:paraId="64E64D1A" w14:textId="351F80E5" w:rsidR="00C06C17" w:rsidRPr="006869FB" w:rsidRDefault="00C06C17" w:rsidP="00A6629D">
      <w:pPr>
        <w:pStyle w:val="Default"/>
        <w:numPr>
          <w:ilvl w:val="0"/>
          <w:numId w:val="15"/>
        </w:numPr>
        <w:spacing w:before="120"/>
        <w:ind w:right="45"/>
        <w:jc w:val="both"/>
        <w:rPr>
          <w:rFonts w:ascii="Arial" w:hAnsi="Arial" w:cs="Arial"/>
          <w:bCs/>
          <w:sz w:val="20"/>
          <w:szCs w:val="20"/>
          <w:lang w:val="en-US"/>
        </w:rPr>
      </w:pPr>
      <w:r w:rsidRPr="006869FB">
        <w:rPr>
          <w:rFonts w:ascii="Arial" w:hAnsi="Arial" w:cs="Arial"/>
          <w:bCs/>
          <w:sz w:val="20"/>
          <w:szCs w:val="20"/>
          <w:lang w:val="en-US"/>
        </w:rPr>
        <w:t xml:space="preserve">Community </w:t>
      </w:r>
      <w:r w:rsidR="006F30A4">
        <w:rPr>
          <w:rFonts w:ascii="Arial" w:hAnsi="Arial" w:cs="Arial"/>
          <w:bCs/>
          <w:sz w:val="20"/>
          <w:szCs w:val="20"/>
          <w:lang w:val="en-US"/>
        </w:rPr>
        <w:t>m</w:t>
      </w:r>
      <w:r w:rsidRPr="006869FB">
        <w:rPr>
          <w:rFonts w:ascii="Arial" w:hAnsi="Arial" w:cs="Arial"/>
          <w:bCs/>
          <w:sz w:val="20"/>
          <w:szCs w:val="20"/>
          <w:lang w:val="en-US"/>
        </w:rPr>
        <w:t>obilization</w:t>
      </w:r>
      <w:r w:rsidR="00BF3079" w:rsidRPr="006869FB">
        <w:rPr>
          <w:rFonts w:ascii="Arial" w:hAnsi="Arial" w:cs="Arial"/>
          <w:bCs/>
          <w:sz w:val="20"/>
          <w:szCs w:val="20"/>
          <w:lang w:val="en-US"/>
        </w:rPr>
        <w:t xml:space="preserve"> in</w:t>
      </w:r>
      <w:r w:rsidRPr="006869FB">
        <w:rPr>
          <w:rFonts w:ascii="Arial" w:hAnsi="Arial" w:cs="Arial"/>
          <w:bCs/>
          <w:sz w:val="20"/>
          <w:szCs w:val="20"/>
          <w:lang w:val="en-US"/>
        </w:rPr>
        <w:t xml:space="preserve">cludes human and financial resources needed for preparatory community meetings, information campaigns, and the </w:t>
      </w:r>
      <w:r w:rsidR="005F2972" w:rsidRPr="006869FB">
        <w:rPr>
          <w:rFonts w:ascii="Arial" w:hAnsi="Arial" w:cs="Arial"/>
          <w:bCs/>
          <w:sz w:val="20"/>
          <w:szCs w:val="20"/>
          <w:lang w:val="en-US"/>
        </w:rPr>
        <w:t>door-to-door</w:t>
      </w:r>
      <w:r w:rsidRPr="006869FB">
        <w:rPr>
          <w:rFonts w:ascii="Arial" w:hAnsi="Arial" w:cs="Arial"/>
          <w:bCs/>
          <w:sz w:val="20"/>
          <w:szCs w:val="20"/>
          <w:lang w:val="en-US"/>
        </w:rPr>
        <w:t xml:space="preserve"> community mobilizers to accompany the spray teams for house preparation</w:t>
      </w:r>
    </w:p>
    <w:p w14:paraId="79E839E1" w14:textId="7AB70C62" w:rsidR="00C06C17" w:rsidRPr="00941864" w:rsidRDefault="00C06C17" w:rsidP="00A6629D">
      <w:pPr>
        <w:pStyle w:val="Default"/>
        <w:numPr>
          <w:ilvl w:val="0"/>
          <w:numId w:val="15"/>
        </w:numPr>
        <w:spacing w:before="120"/>
        <w:ind w:right="45"/>
        <w:jc w:val="both"/>
        <w:rPr>
          <w:rFonts w:ascii="Arial" w:hAnsi="Arial" w:cs="Arial"/>
          <w:bCs/>
          <w:sz w:val="20"/>
          <w:szCs w:val="20"/>
          <w:lang w:val="en-US"/>
        </w:rPr>
      </w:pPr>
      <w:r w:rsidRPr="00941864">
        <w:rPr>
          <w:rFonts w:ascii="Arial" w:hAnsi="Arial" w:cs="Arial"/>
          <w:bCs/>
          <w:sz w:val="20"/>
          <w:szCs w:val="20"/>
          <w:lang w:val="en-US"/>
        </w:rPr>
        <w:t xml:space="preserve">IRS monitoring and reporting costs. Production of daily, </w:t>
      </w:r>
      <w:proofErr w:type="gramStart"/>
      <w:r w:rsidRPr="00941864">
        <w:rPr>
          <w:rFonts w:ascii="Arial" w:hAnsi="Arial" w:cs="Arial"/>
          <w:bCs/>
          <w:sz w:val="20"/>
          <w:szCs w:val="20"/>
          <w:lang w:val="en-US"/>
        </w:rPr>
        <w:t>monthly</w:t>
      </w:r>
      <w:proofErr w:type="gramEnd"/>
      <w:r w:rsidRPr="00941864">
        <w:rPr>
          <w:rFonts w:ascii="Arial" w:hAnsi="Arial" w:cs="Arial"/>
          <w:bCs/>
          <w:sz w:val="20"/>
          <w:szCs w:val="20"/>
          <w:lang w:val="en-US"/>
        </w:rPr>
        <w:t xml:space="preserve"> and annual spray reports on houses sprayed, population covered, insecticides used and in stock, spray pumps in stocks and </w:t>
      </w:r>
      <w:r w:rsidRPr="00941864">
        <w:rPr>
          <w:rFonts w:ascii="Arial" w:hAnsi="Arial" w:cs="Arial"/>
          <w:bCs/>
          <w:sz w:val="20"/>
          <w:szCs w:val="20"/>
          <w:lang w:val="en-US"/>
        </w:rPr>
        <w:lastRenderedPageBreak/>
        <w:t xml:space="preserve">need for repair, protective gear in stock, transport </w:t>
      </w:r>
      <w:r w:rsidR="006F55FF" w:rsidRPr="00941864">
        <w:rPr>
          <w:rFonts w:ascii="Arial" w:hAnsi="Arial" w:cs="Arial"/>
          <w:bCs/>
          <w:sz w:val="20"/>
          <w:szCs w:val="20"/>
          <w:lang w:val="en-US"/>
        </w:rPr>
        <w:t>used, financing</w:t>
      </w:r>
      <w:r w:rsidRPr="00941864">
        <w:rPr>
          <w:rFonts w:ascii="Arial" w:hAnsi="Arial" w:cs="Arial"/>
          <w:bCs/>
          <w:sz w:val="20"/>
          <w:szCs w:val="20"/>
          <w:lang w:val="en-US"/>
        </w:rPr>
        <w:t xml:space="preserve"> allocated and used, </w:t>
      </w:r>
      <w:r w:rsidR="005A39CA" w:rsidRPr="00941864">
        <w:rPr>
          <w:rFonts w:ascii="Arial" w:hAnsi="Arial" w:cs="Arial"/>
          <w:bCs/>
          <w:sz w:val="20"/>
          <w:szCs w:val="20"/>
          <w:lang w:val="en-US"/>
        </w:rPr>
        <w:t>etc.</w:t>
      </w:r>
      <w:r w:rsidRPr="00941864">
        <w:rPr>
          <w:rFonts w:ascii="Arial" w:hAnsi="Arial" w:cs="Arial"/>
          <w:bCs/>
          <w:sz w:val="20"/>
          <w:szCs w:val="20"/>
          <w:lang w:val="en-US"/>
        </w:rPr>
        <w:t xml:space="preserve">  </w:t>
      </w:r>
      <w:r w:rsidR="000D21FB" w:rsidRPr="00941864">
        <w:rPr>
          <w:rFonts w:ascii="Arial" w:hAnsi="Arial" w:cs="Arial"/>
          <w:bCs/>
          <w:sz w:val="20"/>
          <w:szCs w:val="20"/>
          <w:lang w:val="en-US"/>
        </w:rPr>
        <w:t xml:space="preserve">Quality assurance of spraying (monitoring durability, </w:t>
      </w:r>
      <w:r w:rsidR="005F2972" w:rsidRPr="00941864">
        <w:rPr>
          <w:rFonts w:ascii="Arial" w:hAnsi="Arial" w:cs="Arial"/>
          <w:bCs/>
          <w:sz w:val="20"/>
          <w:szCs w:val="20"/>
          <w:lang w:val="en-US"/>
        </w:rPr>
        <w:t>etc.</w:t>
      </w:r>
      <w:r w:rsidR="000D21FB" w:rsidRPr="00941864">
        <w:rPr>
          <w:rFonts w:ascii="Arial" w:hAnsi="Arial" w:cs="Arial"/>
          <w:bCs/>
          <w:sz w:val="20"/>
          <w:szCs w:val="20"/>
          <w:lang w:val="en-US"/>
        </w:rPr>
        <w:t>) in various spray sites during and post campaign</w:t>
      </w:r>
      <w:r w:rsidR="00941864" w:rsidRPr="00941864">
        <w:rPr>
          <w:rFonts w:ascii="Arial" w:hAnsi="Arial" w:cs="Arial"/>
          <w:bCs/>
          <w:sz w:val="20"/>
          <w:szCs w:val="20"/>
          <w:lang w:val="en-US"/>
        </w:rPr>
        <w:t xml:space="preserve">. </w:t>
      </w:r>
      <w:r w:rsidRPr="00941864">
        <w:rPr>
          <w:rFonts w:ascii="Arial" w:hAnsi="Arial" w:cs="Arial"/>
          <w:bCs/>
          <w:sz w:val="20"/>
          <w:szCs w:val="20"/>
          <w:lang w:val="en-US"/>
        </w:rPr>
        <w:t xml:space="preserve">Vector sentinel sites should be a minimum </w:t>
      </w:r>
      <w:r w:rsidR="00103C94" w:rsidRPr="00941864">
        <w:rPr>
          <w:rFonts w:ascii="Arial" w:hAnsi="Arial" w:cs="Arial"/>
          <w:bCs/>
          <w:sz w:val="20"/>
          <w:szCs w:val="20"/>
          <w:lang w:val="en-US"/>
        </w:rPr>
        <w:t xml:space="preserve">of </w:t>
      </w:r>
      <w:r w:rsidRPr="00941864">
        <w:rPr>
          <w:rFonts w:ascii="Arial" w:hAnsi="Arial" w:cs="Arial"/>
          <w:bCs/>
          <w:sz w:val="20"/>
          <w:szCs w:val="20"/>
          <w:lang w:val="en-US"/>
        </w:rPr>
        <w:t>one site per million population and representatively sit</w:t>
      </w:r>
      <w:r w:rsidR="00103C94" w:rsidRPr="00941864">
        <w:rPr>
          <w:rFonts w:ascii="Arial" w:hAnsi="Arial" w:cs="Arial"/>
          <w:bCs/>
          <w:sz w:val="20"/>
          <w:szCs w:val="20"/>
          <w:lang w:val="en-US"/>
        </w:rPr>
        <w:t>uat</w:t>
      </w:r>
      <w:r w:rsidRPr="00941864">
        <w:rPr>
          <w:rFonts w:ascii="Arial" w:hAnsi="Arial" w:cs="Arial"/>
          <w:bCs/>
          <w:sz w:val="20"/>
          <w:szCs w:val="20"/>
          <w:lang w:val="en-US"/>
        </w:rPr>
        <w:t>ed in different transmission eco-epidemiological areas</w:t>
      </w:r>
      <w:r w:rsidR="00941864" w:rsidRPr="00941864">
        <w:rPr>
          <w:rFonts w:ascii="Arial" w:hAnsi="Arial" w:cs="Arial"/>
          <w:bCs/>
          <w:sz w:val="20"/>
          <w:szCs w:val="20"/>
          <w:lang w:val="en-US"/>
        </w:rPr>
        <w:t xml:space="preserve">. </w:t>
      </w:r>
      <w:r w:rsidRPr="00941864">
        <w:rPr>
          <w:rFonts w:ascii="Arial" w:hAnsi="Arial" w:cs="Arial"/>
          <w:bCs/>
          <w:sz w:val="20"/>
          <w:szCs w:val="20"/>
          <w:lang w:val="en-US"/>
        </w:rPr>
        <w:t>Annual bioassays should be conducted after each spray cycle</w:t>
      </w:r>
      <w:r w:rsidR="00941864" w:rsidRPr="00941864">
        <w:rPr>
          <w:rFonts w:ascii="Arial" w:hAnsi="Arial" w:cs="Arial"/>
          <w:bCs/>
          <w:sz w:val="20"/>
          <w:szCs w:val="20"/>
          <w:lang w:val="en-US"/>
        </w:rPr>
        <w:t xml:space="preserve">. </w:t>
      </w:r>
      <w:r w:rsidRPr="00941864">
        <w:rPr>
          <w:rFonts w:ascii="Arial" w:hAnsi="Arial" w:cs="Arial"/>
          <w:bCs/>
          <w:sz w:val="20"/>
          <w:szCs w:val="20"/>
          <w:lang w:val="en-US"/>
        </w:rPr>
        <w:t xml:space="preserve">Annual insecticide susceptibility testing </w:t>
      </w:r>
      <w:r w:rsidR="006F30A4">
        <w:rPr>
          <w:rFonts w:ascii="Arial" w:hAnsi="Arial" w:cs="Arial"/>
          <w:bCs/>
          <w:sz w:val="20"/>
          <w:szCs w:val="20"/>
          <w:lang w:val="en-US"/>
        </w:rPr>
        <w:t xml:space="preserve">should be conducted </w:t>
      </w:r>
      <w:r w:rsidRPr="00941864">
        <w:rPr>
          <w:rFonts w:ascii="Arial" w:hAnsi="Arial" w:cs="Arial"/>
          <w:bCs/>
          <w:sz w:val="20"/>
          <w:szCs w:val="20"/>
          <w:lang w:val="en-US"/>
        </w:rPr>
        <w:t xml:space="preserve">before each spray cycle  </w:t>
      </w:r>
    </w:p>
    <w:p w14:paraId="7FE7636D" w14:textId="51335415" w:rsidR="00C06C17" w:rsidRDefault="0083728E" w:rsidP="00A6629D">
      <w:pPr>
        <w:pStyle w:val="ListParagraph"/>
        <w:numPr>
          <w:ilvl w:val="0"/>
          <w:numId w:val="14"/>
        </w:numPr>
        <w:spacing w:before="120"/>
        <w:ind w:right="43"/>
        <w:jc w:val="both"/>
        <w:rPr>
          <w:rFonts w:ascii="Arial" w:hAnsi="Arial" w:cs="Arial"/>
          <w:bCs/>
          <w:sz w:val="20"/>
          <w:szCs w:val="20"/>
        </w:rPr>
      </w:pPr>
      <w:r w:rsidRPr="00D30E5F">
        <w:rPr>
          <w:rFonts w:ascii="Arial" w:hAnsi="Arial" w:cs="Arial"/>
          <w:sz w:val="20"/>
          <w:szCs w:val="20"/>
        </w:rPr>
        <w:t xml:space="preserve">Determine what funding and support will be committed through domestic resources and partners and what gap remains. </w:t>
      </w:r>
      <w:r w:rsidR="00C06C17" w:rsidRPr="00D30E5F">
        <w:rPr>
          <w:rFonts w:ascii="Arial" w:hAnsi="Arial" w:cs="Arial"/>
          <w:sz w:val="20"/>
          <w:szCs w:val="20"/>
        </w:rPr>
        <w:t>Assess the commodities, logistic</w:t>
      </w:r>
      <w:r w:rsidR="006F30A4">
        <w:rPr>
          <w:rFonts w:ascii="Arial" w:hAnsi="Arial" w:cs="Arial"/>
          <w:sz w:val="20"/>
          <w:szCs w:val="20"/>
        </w:rPr>
        <w:t>s</w:t>
      </w:r>
      <w:r w:rsidR="00C06C17" w:rsidRPr="00D30E5F">
        <w:rPr>
          <w:rFonts w:ascii="Arial" w:hAnsi="Arial" w:cs="Arial"/>
          <w:sz w:val="20"/>
          <w:szCs w:val="20"/>
        </w:rPr>
        <w:t xml:space="preserve">, human </w:t>
      </w:r>
      <w:proofErr w:type="gramStart"/>
      <w:r w:rsidR="00C06C17" w:rsidRPr="00D30E5F">
        <w:rPr>
          <w:rFonts w:ascii="Arial" w:hAnsi="Arial" w:cs="Arial"/>
          <w:sz w:val="20"/>
          <w:szCs w:val="20"/>
        </w:rPr>
        <w:t>resources</w:t>
      </w:r>
      <w:proofErr w:type="gramEnd"/>
      <w:r w:rsidR="00C06C17" w:rsidRPr="00D30E5F">
        <w:rPr>
          <w:rFonts w:ascii="Arial" w:hAnsi="Arial" w:cs="Arial"/>
          <w:sz w:val="20"/>
          <w:szCs w:val="20"/>
        </w:rPr>
        <w:t xml:space="preserve"> and activities already covered with the existing national systems and resources</w:t>
      </w:r>
      <w:r w:rsidR="0050376D" w:rsidRPr="00D30E5F">
        <w:rPr>
          <w:rFonts w:ascii="Arial" w:hAnsi="Arial" w:cs="Arial"/>
          <w:sz w:val="20"/>
          <w:szCs w:val="20"/>
        </w:rPr>
        <w:t xml:space="preserve">. </w:t>
      </w:r>
      <w:r w:rsidR="00C06C17" w:rsidRPr="00D30E5F">
        <w:rPr>
          <w:rFonts w:ascii="Arial" w:hAnsi="Arial" w:cs="Arial"/>
          <w:bCs/>
          <w:sz w:val="20"/>
          <w:szCs w:val="20"/>
        </w:rPr>
        <w:t>Assess what is available for IRS service delivery from the national program and the health system</w:t>
      </w:r>
      <w:r w:rsidR="0050376D" w:rsidRPr="00D30E5F">
        <w:rPr>
          <w:rFonts w:ascii="Arial" w:hAnsi="Arial" w:cs="Arial"/>
          <w:bCs/>
          <w:sz w:val="20"/>
          <w:szCs w:val="20"/>
        </w:rPr>
        <w:t>.</w:t>
      </w:r>
      <w:r w:rsidR="00C06C17" w:rsidRPr="00D30E5F">
        <w:rPr>
          <w:rFonts w:ascii="Arial" w:hAnsi="Arial" w:cs="Arial"/>
          <w:bCs/>
          <w:sz w:val="20"/>
          <w:szCs w:val="20"/>
        </w:rPr>
        <w:t xml:space="preserve">  </w:t>
      </w:r>
      <w:r w:rsidR="00D30E5F" w:rsidRPr="00D30E5F">
        <w:rPr>
          <w:rFonts w:ascii="Arial" w:hAnsi="Arial" w:cs="Arial"/>
          <w:bCs/>
          <w:sz w:val="20"/>
          <w:szCs w:val="20"/>
        </w:rPr>
        <w:t>M</w:t>
      </w:r>
      <w:r w:rsidR="00C06C17" w:rsidRPr="00D30E5F">
        <w:rPr>
          <w:rFonts w:ascii="Arial" w:hAnsi="Arial" w:cs="Arial"/>
          <w:bCs/>
          <w:sz w:val="20"/>
          <w:szCs w:val="20"/>
        </w:rPr>
        <w:t xml:space="preserve">eet with partners and </w:t>
      </w:r>
      <w:r w:rsidR="00D15994" w:rsidRPr="00D30E5F">
        <w:rPr>
          <w:rFonts w:ascii="Arial" w:hAnsi="Arial" w:cs="Arial"/>
          <w:bCs/>
          <w:sz w:val="20"/>
          <w:szCs w:val="20"/>
        </w:rPr>
        <w:t>stakeholders</w:t>
      </w:r>
      <w:r w:rsidR="00C06C17" w:rsidRPr="00D30E5F">
        <w:rPr>
          <w:rFonts w:ascii="Arial" w:hAnsi="Arial" w:cs="Arial"/>
          <w:bCs/>
          <w:sz w:val="20"/>
          <w:szCs w:val="20"/>
        </w:rPr>
        <w:t xml:space="preserve"> to assess their level of planned specific IRS delivery contributions </w:t>
      </w:r>
    </w:p>
    <w:p w14:paraId="6B9A18A3" w14:textId="0D49B5BB" w:rsidR="00C06C17" w:rsidRPr="006869FB" w:rsidRDefault="0083728E" w:rsidP="00A6629D">
      <w:pPr>
        <w:pStyle w:val="ListParagraph"/>
        <w:numPr>
          <w:ilvl w:val="0"/>
          <w:numId w:val="14"/>
        </w:numPr>
        <w:spacing w:before="120"/>
        <w:ind w:right="43"/>
        <w:jc w:val="both"/>
        <w:rPr>
          <w:rFonts w:ascii="Arial" w:hAnsi="Arial" w:cs="Arial"/>
          <w:sz w:val="20"/>
          <w:szCs w:val="20"/>
        </w:rPr>
      </w:pPr>
      <w:r w:rsidRPr="006869FB">
        <w:rPr>
          <w:rFonts w:ascii="Arial" w:hAnsi="Arial" w:cs="Arial"/>
          <w:sz w:val="20"/>
          <w:szCs w:val="20"/>
        </w:rPr>
        <w:t>Es</w:t>
      </w:r>
      <w:r w:rsidR="00C06C17" w:rsidRPr="006869FB">
        <w:rPr>
          <w:rFonts w:ascii="Arial" w:hAnsi="Arial" w:cs="Arial"/>
          <w:sz w:val="20"/>
          <w:szCs w:val="20"/>
        </w:rPr>
        <w:t>timate the expected annual gaps that still need to be covered for commodities, logistic</w:t>
      </w:r>
      <w:r w:rsidR="006F30A4">
        <w:rPr>
          <w:rFonts w:ascii="Arial" w:hAnsi="Arial" w:cs="Arial"/>
          <w:sz w:val="20"/>
          <w:szCs w:val="20"/>
        </w:rPr>
        <w:t>s</w:t>
      </w:r>
      <w:r w:rsidR="00C06C17" w:rsidRPr="006869FB">
        <w:rPr>
          <w:rFonts w:ascii="Arial" w:hAnsi="Arial" w:cs="Arial"/>
          <w:sz w:val="20"/>
          <w:szCs w:val="20"/>
        </w:rPr>
        <w:t xml:space="preserve">, human </w:t>
      </w:r>
      <w:proofErr w:type="gramStart"/>
      <w:r w:rsidR="00C06C17" w:rsidRPr="006869FB">
        <w:rPr>
          <w:rFonts w:ascii="Arial" w:hAnsi="Arial" w:cs="Arial"/>
          <w:sz w:val="20"/>
          <w:szCs w:val="20"/>
        </w:rPr>
        <w:t>resources</w:t>
      </w:r>
      <w:proofErr w:type="gramEnd"/>
      <w:r w:rsidR="00C06C17" w:rsidRPr="006869FB">
        <w:rPr>
          <w:rFonts w:ascii="Arial" w:hAnsi="Arial" w:cs="Arial"/>
          <w:sz w:val="20"/>
          <w:szCs w:val="20"/>
        </w:rPr>
        <w:t xml:space="preserve"> and activities</w:t>
      </w:r>
    </w:p>
    <w:p w14:paraId="6BA3BBA1" w14:textId="07406D08" w:rsidR="00121503" w:rsidRDefault="00C06C17" w:rsidP="00A6629D">
      <w:pPr>
        <w:pStyle w:val="ListParagraph"/>
        <w:numPr>
          <w:ilvl w:val="0"/>
          <w:numId w:val="14"/>
        </w:numPr>
        <w:spacing w:before="120"/>
        <w:jc w:val="both"/>
        <w:rPr>
          <w:rFonts w:ascii="Arial" w:hAnsi="Arial" w:cs="Arial"/>
          <w:sz w:val="20"/>
          <w:szCs w:val="20"/>
        </w:rPr>
      </w:pPr>
      <w:r w:rsidRPr="006869FB">
        <w:rPr>
          <w:rFonts w:ascii="Arial" w:hAnsi="Arial" w:cs="Arial"/>
          <w:sz w:val="20"/>
          <w:szCs w:val="20"/>
        </w:rPr>
        <w:t>Specify wh</w:t>
      </w:r>
      <w:r w:rsidR="00121503">
        <w:rPr>
          <w:rFonts w:ascii="Arial" w:hAnsi="Arial" w:cs="Arial"/>
          <w:sz w:val="20"/>
          <w:szCs w:val="20"/>
        </w:rPr>
        <w:t xml:space="preserve">at will be funded through the GF malaria </w:t>
      </w:r>
      <w:r w:rsidR="00D15994">
        <w:rPr>
          <w:rFonts w:ascii="Arial" w:hAnsi="Arial" w:cs="Arial"/>
          <w:sz w:val="20"/>
          <w:szCs w:val="20"/>
        </w:rPr>
        <w:t>allocation and</w:t>
      </w:r>
      <w:r w:rsidR="00AF5561">
        <w:rPr>
          <w:rFonts w:ascii="Arial" w:hAnsi="Arial" w:cs="Arial"/>
          <w:sz w:val="20"/>
          <w:szCs w:val="20"/>
        </w:rPr>
        <w:t xml:space="preserve"> consider placing outstanding gaps into the GF </w:t>
      </w:r>
      <w:proofErr w:type="spellStart"/>
      <w:r w:rsidR="000545D1">
        <w:rPr>
          <w:rFonts w:ascii="Arial" w:hAnsi="Arial" w:cs="Arial"/>
          <w:sz w:val="20"/>
          <w:szCs w:val="20"/>
        </w:rPr>
        <w:t>Prioritised</w:t>
      </w:r>
      <w:proofErr w:type="spellEnd"/>
      <w:r w:rsidR="000545D1">
        <w:rPr>
          <w:rFonts w:ascii="Arial" w:hAnsi="Arial" w:cs="Arial"/>
          <w:sz w:val="20"/>
          <w:szCs w:val="20"/>
        </w:rPr>
        <w:t xml:space="preserve"> Above Allocation Request.</w:t>
      </w:r>
    </w:p>
    <w:p w14:paraId="29DDF68E" w14:textId="7B6C7DF2" w:rsidR="00C06C17" w:rsidRPr="006869FB" w:rsidRDefault="00AF5561" w:rsidP="00A6629D">
      <w:pPr>
        <w:pStyle w:val="ListParagraph"/>
        <w:numPr>
          <w:ilvl w:val="0"/>
          <w:numId w:val="14"/>
        </w:numPr>
        <w:spacing w:before="120"/>
        <w:jc w:val="both"/>
        <w:rPr>
          <w:rFonts w:ascii="Arial" w:hAnsi="Arial" w:cs="Arial"/>
          <w:sz w:val="20"/>
          <w:szCs w:val="20"/>
        </w:rPr>
      </w:pPr>
      <w:r>
        <w:rPr>
          <w:rFonts w:ascii="Arial" w:hAnsi="Arial" w:cs="Arial"/>
          <w:sz w:val="20"/>
          <w:szCs w:val="20"/>
        </w:rPr>
        <w:t>Note wh</w:t>
      </w:r>
      <w:r w:rsidR="00C06C17" w:rsidRPr="006869FB">
        <w:rPr>
          <w:rFonts w:ascii="Arial" w:hAnsi="Arial" w:cs="Arial"/>
          <w:sz w:val="20"/>
          <w:szCs w:val="20"/>
        </w:rPr>
        <w:t>ich insecticide is being used</w:t>
      </w:r>
      <w:r w:rsidR="0083728E" w:rsidRPr="006869FB">
        <w:rPr>
          <w:rFonts w:ascii="Arial" w:hAnsi="Arial" w:cs="Arial"/>
          <w:sz w:val="20"/>
          <w:szCs w:val="20"/>
        </w:rPr>
        <w:t xml:space="preserve"> and indicate if this will be changed during the funding cycle and if so, to what.</w:t>
      </w:r>
    </w:p>
    <w:p w14:paraId="19386DBE" w14:textId="24D6C25B" w:rsidR="00010C82" w:rsidRPr="006869FB" w:rsidRDefault="00010C82" w:rsidP="0020756E">
      <w:pPr>
        <w:pStyle w:val="Heading2"/>
        <w:spacing w:before="120"/>
        <w:rPr>
          <w:rFonts w:ascii="Arial" w:hAnsi="Arial" w:cs="Arial"/>
          <w:sz w:val="20"/>
          <w:szCs w:val="20"/>
        </w:rPr>
      </w:pPr>
      <w:r w:rsidRPr="006869FB">
        <w:rPr>
          <w:rFonts w:ascii="Arial" w:hAnsi="Arial" w:cs="Arial"/>
          <w:sz w:val="20"/>
          <w:szCs w:val="20"/>
        </w:rPr>
        <w:t>Gap Analysis for Malaria Diagnosis and Treatment</w:t>
      </w:r>
    </w:p>
    <w:p w14:paraId="091BE97C" w14:textId="48B29CCF" w:rsidR="009641D7" w:rsidRDefault="009641D7" w:rsidP="0020756E">
      <w:pPr>
        <w:spacing w:before="120"/>
        <w:jc w:val="both"/>
        <w:rPr>
          <w:rFonts w:ascii="Arial" w:hAnsi="Arial" w:cs="Arial"/>
          <w:sz w:val="20"/>
          <w:szCs w:val="20"/>
        </w:rPr>
      </w:pPr>
      <w:r w:rsidRPr="006869FB">
        <w:rPr>
          <w:rFonts w:ascii="Arial" w:hAnsi="Arial" w:cs="Arial"/>
          <w:sz w:val="20"/>
          <w:szCs w:val="20"/>
        </w:rPr>
        <w:t>The defined needs of A</w:t>
      </w:r>
      <w:r w:rsidR="008E7065" w:rsidRPr="006869FB">
        <w:rPr>
          <w:rFonts w:ascii="Arial" w:hAnsi="Arial" w:cs="Arial"/>
          <w:sz w:val="20"/>
          <w:szCs w:val="20"/>
        </w:rPr>
        <w:t>rtemisinin</w:t>
      </w:r>
      <w:r w:rsidR="00665560" w:rsidRPr="006869FB">
        <w:rPr>
          <w:rFonts w:ascii="Arial" w:hAnsi="Arial" w:cs="Arial"/>
          <w:sz w:val="20"/>
          <w:szCs w:val="20"/>
        </w:rPr>
        <w:t>-</w:t>
      </w:r>
      <w:r w:rsidR="008E7065" w:rsidRPr="006869FB">
        <w:rPr>
          <w:rFonts w:ascii="Arial" w:hAnsi="Arial" w:cs="Arial"/>
          <w:sz w:val="20"/>
          <w:szCs w:val="20"/>
        </w:rPr>
        <w:t>based Combination Therapy (ACTs)</w:t>
      </w:r>
      <w:r w:rsidRPr="006869FB">
        <w:rPr>
          <w:rFonts w:ascii="Arial" w:hAnsi="Arial" w:cs="Arial"/>
          <w:sz w:val="20"/>
          <w:szCs w:val="20"/>
        </w:rPr>
        <w:t xml:space="preserve"> and </w:t>
      </w:r>
      <w:r w:rsidR="008E7065" w:rsidRPr="006869FB">
        <w:rPr>
          <w:rFonts w:ascii="Arial" w:hAnsi="Arial" w:cs="Arial"/>
          <w:sz w:val="20"/>
          <w:szCs w:val="20"/>
        </w:rPr>
        <w:t>malaria diagnostic</w:t>
      </w:r>
      <w:r w:rsidR="00665560" w:rsidRPr="006869FB">
        <w:rPr>
          <w:rFonts w:ascii="Arial" w:hAnsi="Arial" w:cs="Arial"/>
          <w:sz w:val="20"/>
          <w:szCs w:val="20"/>
        </w:rPr>
        <w:t xml:space="preserve"> test</w:t>
      </w:r>
      <w:r w:rsidR="008E7065" w:rsidRPr="006869FB">
        <w:rPr>
          <w:rFonts w:ascii="Arial" w:hAnsi="Arial" w:cs="Arial"/>
          <w:sz w:val="20"/>
          <w:szCs w:val="20"/>
        </w:rPr>
        <w:t xml:space="preserve">s (microscopy and </w:t>
      </w:r>
      <w:r w:rsidRPr="006869FB">
        <w:rPr>
          <w:rFonts w:ascii="Arial" w:hAnsi="Arial" w:cs="Arial"/>
          <w:sz w:val="20"/>
          <w:szCs w:val="20"/>
        </w:rPr>
        <w:t>R</w:t>
      </w:r>
      <w:r w:rsidR="008E7065" w:rsidRPr="006869FB">
        <w:rPr>
          <w:rFonts w:ascii="Arial" w:hAnsi="Arial" w:cs="Arial"/>
          <w:sz w:val="20"/>
          <w:szCs w:val="20"/>
        </w:rPr>
        <w:t xml:space="preserve">apid </w:t>
      </w:r>
      <w:r w:rsidRPr="006869FB">
        <w:rPr>
          <w:rFonts w:ascii="Arial" w:hAnsi="Arial" w:cs="Arial"/>
          <w:sz w:val="20"/>
          <w:szCs w:val="20"/>
        </w:rPr>
        <w:t>D</w:t>
      </w:r>
      <w:r w:rsidR="008E7065" w:rsidRPr="006869FB">
        <w:rPr>
          <w:rFonts w:ascii="Arial" w:hAnsi="Arial" w:cs="Arial"/>
          <w:sz w:val="20"/>
          <w:szCs w:val="20"/>
        </w:rPr>
        <w:t xml:space="preserve">iagnostic </w:t>
      </w:r>
      <w:r w:rsidRPr="006869FB">
        <w:rPr>
          <w:rFonts w:ascii="Arial" w:hAnsi="Arial" w:cs="Arial"/>
          <w:sz w:val="20"/>
          <w:szCs w:val="20"/>
        </w:rPr>
        <w:t>T</w:t>
      </w:r>
      <w:r w:rsidR="008E7065" w:rsidRPr="006869FB">
        <w:rPr>
          <w:rFonts w:ascii="Arial" w:hAnsi="Arial" w:cs="Arial"/>
          <w:sz w:val="20"/>
          <w:szCs w:val="20"/>
        </w:rPr>
        <w:t>est</w:t>
      </w:r>
      <w:r w:rsidRPr="006869FB">
        <w:rPr>
          <w:rFonts w:ascii="Arial" w:hAnsi="Arial" w:cs="Arial"/>
          <w:sz w:val="20"/>
          <w:szCs w:val="20"/>
        </w:rPr>
        <w:t>s</w:t>
      </w:r>
      <w:r w:rsidR="008E7065" w:rsidRPr="006869FB">
        <w:rPr>
          <w:rFonts w:ascii="Arial" w:hAnsi="Arial" w:cs="Arial"/>
          <w:sz w:val="20"/>
          <w:szCs w:val="20"/>
        </w:rPr>
        <w:t xml:space="preserve"> (RDTs))</w:t>
      </w:r>
      <w:r w:rsidRPr="006869FB">
        <w:rPr>
          <w:rFonts w:ascii="Arial" w:hAnsi="Arial" w:cs="Arial"/>
          <w:sz w:val="20"/>
          <w:szCs w:val="20"/>
        </w:rPr>
        <w:t xml:space="preserve"> are influenced by the </w:t>
      </w:r>
      <w:r w:rsidR="008E7065" w:rsidRPr="006869FB">
        <w:rPr>
          <w:rFonts w:ascii="Arial" w:hAnsi="Arial" w:cs="Arial"/>
          <w:sz w:val="20"/>
          <w:szCs w:val="20"/>
        </w:rPr>
        <w:t>disease</w:t>
      </w:r>
      <w:r w:rsidR="009852A4" w:rsidRPr="006869FB">
        <w:rPr>
          <w:rFonts w:ascii="Arial" w:hAnsi="Arial" w:cs="Arial"/>
          <w:sz w:val="20"/>
          <w:szCs w:val="20"/>
        </w:rPr>
        <w:t xml:space="preserve"> epidemiology</w:t>
      </w:r>
      <w:r w:rsidR="008E7065" w:rsidRPr="006869FB">
        <w:rPr>
          <w:rFonts w:ascii="Arial" w:hAnsi="Arial" w:cs="Arial"/>
          <w:sz w:val="20"/>
          <w:szCs w:val="20"/>
        </w:rPr>
        <w:t xml:space="preserve"> and </w:t>
      </w:r>
      <w:r w:rsidR="00CA1086" w:rsidRPr="006869FB">
        <w:rPr>
          <w:rFonts w:ascii="Arial" w:hAnsi="Arial" w:cs="Arial"/>
          <w:sz w:val="20"/>
          <w:szCs w:val="20"/>
        </w:rPr>
        <w:t xml:space="preserve">coverage of the health system. </w:t>
      </w:r>
      <w:r w:rsidRPr="006869FB">
        <w:rPr>
          <w:rFonts w:ascii="Arial" w:hAnsi="Arial" w:cs="Arial"/>
          <w:sz w:val="20"/>
          <w:szCs w:val="20"/>
        </w:rPr>
        <w:t xml:space="preserve">It is critical that the most </w:t>
      </w:r>
      <w:r w:rsidR="008E7065" w:rsidRPr="006869FB">
        <w:rPr>
          <w:rFonts w:ascii="Arial" w:hAnsi="Arial" w:cs="Arial"/>
          <w:sz w:val="20"/>
          <w:szCs w:val="20"/>
        </w:rPr>
        <w:t xml:space="preserve">up to date </w:t>
      </w:r>
      <w:r w:rsidRPr="006869FB">
        <w:rPr>
          <w:rFonts w:ascii="Arial" w:hAnsi="Arial" w:cs="Arial"/>
          <w:sz w:val="20"/>
          <w:szCs w:val="20"/>
        </w:rPr>
        <w:t>scientific</w:t>
      </w:r>
      <w:r w:rsidR="0004459B" w:rsidRPr="006869FB">
        <w:rPr>
          <w:rFonts w:ascii="Arial" w:hAnsi="Arial" w:cs="Arial"/>
          <w:sz w:val="20"/>
          <w:szCs w:val="20"/>
        </w:rPr>
        <w:t xml:space="preserve">, evidence </w:t>
      </w:r>
      <w:r w:rsidR="00D15994" w:rsidRPr="006869FB">
        <w:rPr>
          <w:rFonts w:ascii="Arial" w:hAnsi="Arial" w:cs="Arial"/>
          <w:sz w:val="20"/>
          <w:szCs w:val="20"/>
        </w:rPr>
        <w:t>based,</w:t>
      </w:r>
      <w:r w:rsidR="0004459B" w:rsidRPr="006869FB">
        <w:rPr>
          <w:rFonts w:ascii="Arial" w:hAnsi="Arial" w:cs="Arial"/>
          <w:sz w:val="20"/>
          <w:szCs w:val="20"/>
        </w:rPr>
        <w:t xml:space="preserve"> </w:t>
      </w:r>
      <w:r w:rsidRPr="006869FB">
        <w:rPr>
          <w:rFonts w:ascii="Arial" w:hAnsi="Arial" w:cs="Arial"/>
          <w:sz w:val="20"/>
          <w:szCs w:val="20"/>
        </w:rPr>
        <w:t>and rational assump</w:t>
      </w:r>
      <w:r w:rsidR="0004459B" w:rsidRPr="006869FB">
        <w:rPr>
          <w:rFonts w:ascii="Arial" w:hAnsi="Arial" w:cs="Arial"/>
          <w:sz w:val="20"/>
          <w:szCs w:val="20"/>
        </w:rPr>
        <w:t xml:space="preserve">tions be used. </w:t>
      </w:r>
      <w:r w:rsidRPr="006869FB">
        <w:rPr>
          <w:rFonts w:ascii="Arial" w:hAnsi="Arial" w:cs="Arial"/>
          <w:sz w:val="20"/>
          <w:szCs w:val="20"/>
        </w:rPr>
        <w:t>Not</w:t>
      </w:r>
      <w:r w:rsidR="00C42DD9" w:rsidRPr="006869FB">
        <w:rPr>
          <w:rFonts w:ascii="Arial" w:hAnsi="Arial" w:cs="Arial"/>
          <w:sz w:val="20"/>
          <w:szCs w:val="20"/>
        </w:rPr>
        <w:t>e that not</w:t>
      </w:r>
      <w:r w:rsidRPr="006869FB">
        <w:rPr>
          <w:rFonts w:ascii="Arial" w:hAnsi="Arial" w:cs="Arial"/>
          <w:sz w:val="20"/>
          <w:szCs w:val="20"/>
        </w:rPr>
        <w:t xml:space="preserve"> all assumptions in the table might be applicable to your local situation. Disregard assumptions that are not relevant</w:t>
      </w:r>
      <w:r w:rsidR="00C42DD9" w:rsidRPr="006869FB">
        <w:rPr>
          <w:rFonts w:ascii="Arial" w:hAnsi="Arial" w:cs="Arial"/>
          <w:sz w:val="20"/>
          <w:szCs w:val="20"/>
        </w:rPr>
        <w:t xml:space="preserve"> to your national context</w:t>
      </w:r>
      <w:r w:rsidRPr="006869FB">
        <w:rPr>
          <w:rFonts w:ascii="Arial" w:hAnsi="Arial" w:cs="Arial"/>
          <w:sz w:val="20"/>
          <w:szCs w:val="20"/>
        </w:rPr>
        <w:t>. Similarly</w:t>
      </w:r>
      <w:r w:rsidR="000D21FB" w:rsidRPr="006869FB">
        <w:rPr>
          <w:rFonts w:ascii="Arial" w:hAnsi="Arial" w:cs="Arial"/>
          <w:sz w:val="20"/>
          <w:szCs w:val="20"/>
        </w:rPr>
        <w:t>,</w:t>
      </w:r>
      <w:r w:rsidRPr="006869FB">
        <w:rPr>
          <w:rFonts w:ascii="Arial" w:hAnsi="Arial" w:cs="Arial"/>
          <w:sz w:val="20"/>
          <w:szCs w:val="20"/>
        </w:rPr>
        <w:t xml:space="preserve"> </w:t>
      </w:r>
      <w:r w:rsidR="00C42DD9" w:rsidRPr="006869FB">
        <w:rPr>
          <w:rFonts w:ascii="Arial" w:hAnsi="Arial" w:cs="Arial"/>
          <w:sz w:val="20"/>
          <w:szCs w:val="20"/>
        </w:rPr>
        <w:t xml:space="preserve">be sure to </w:t>
      </w:r>
      <w:r w:rsidRPr="006869FB">
        <w:rPr>
          <w:rFonts w:ascii="Arial" w:hAnsi="Arial" w:cs="Arial"/>
          <w:sz w:val="20"/>
          <w:szCs w:val="20"/>
        </w:rPr>
        <w:t xml:space="preserve">include other assumptions </w:t>
      </w:r>
      <w:r w:rsidR="00C42DD9" w:rsidRPr="006869FB">
        <w:rPr>
          <w:rFonts w:ascii="Arial" w:hAnsi="Arial" w:cs="Arial"/>
          <w:sz w:val="20"/>
          <w:szCs w:val="20"/>
        </w:rPr>
        <w:t xml:space="preserve">which might not be listed in the table but </w:t>
      </w:r>
      <w:r w:rsidRPr="006869FB">
        <w:rPr>
          <w:rFonts w:ascii="Arial" w:hAnsi="Arial" w:cs="Arial"/>
          <w:sz w:val="20"/>
          <w:szCs w:val="20"/>
        </w:rPr>
        <w:t>that you consider relevant to your context. You must explain the rationale for all assumptions made</w:t>
      </w:r>
      <w:r w:rsidR="000D21FB" w:rsidRPr="006869FB">
        <w:rPr>
          <w:rFonts w:ascii="Arial" w:hAnsi="Arial" w:cs="Arial"/>
          <w:sz w:val="20"/>
          <w:szCs w:val="20"/>
        </w:rPr>
        <w:t>.</w:t>
      </w:r>
    </w:p>
    <w:p w14:paraId="1D44DFF2" w14:textId="13FC8A16" w:rsidR="00873E03" w:rsidRPr="006869FB" w:rsidRDefault="00873E03" w:rsidP="0020756E">
      <w:pPr>
        <w:spacing w:before="120"/>
        <w:jc w:val="both"/>
        <w:rPr>
          <w:rFonts w:ascii="Arial" w:eastAsiaTheme="minorHAnsi" w:hAnsi="Arial" w:cs="Arial"/>
          <w:sz w:val="20"/>
          <w:szCs w:val="20"/>
          <w:lang w:val="en-GB"/>
        </w:rPr>
      </w:pPr>
      <w:r>
        <w:rPr>
          <w:rFonts w:ascii="Arial" w:hAnsi="Arial" w:cs="Arial"/>
          <w:sz w:val="20"/>
          <w:szCs w:val="20"/>
        </w:rPr>
        <w:t xml:space="preserve">For Community Case Management, ensure </w:t>
      </w:r>
      <w:r w:rsidR="00D15994">
        <w:rPr>
          <w:rFonts w:ascii="Arial" w:hAnsi="Arial" w:cs="Arial"/>
          <w:sz w:val="20"/>
          <w:szCs w:val="20"/>
        </w:rPr>
        <w:t>complementarity</w:t>
      </w:r>
      <w:r w:rsidR="005250D9">
        <w:rPr>
          <w:rFonts w:ascii="Arial" w:hAnsi="Arial" w:cs="Arial"/>
          <w:sz w:val="20"/>
          <w:szCs w:val="20"/>
        </w:rPr>
        <w:t xml:space="preserve"> between the malaria and non-</w:t>
      </w:r>
      <w:r w:rsidR="00D15994">
        <w:rPr>
          <w:rFonts w:ascii="Arial" w:hAnsi="Arial" w:cs="Arial"/>
          <w:sz w:val="20"/>
          <w:szCs w:val="20"/>
        </w:rPr>
        <w:t>malaria</w:t>
      </w:r>
      <w:r w:rsidR="005250D9">
        <w:rPr>
          <w:rFonts w:ascii="Arial" w:hAnsi="Arial" w:cs="Arial"/>
          <w:sz w:val="20"/>
          <w:szCs w:val="20"/>
        </w:rPr>
        <w:t xml:space="preserve"> commodity gap </w:t>
      </w:r>
      <w:r w:rsidR="00CF126C">
        <w:rPr>
          <w:rFonts w:ascii="Arial" w:hAnsi="Arial" w:cs="Arial"/>
          <w:sz w:val="20"/>
          <w:szCs w:val="20"/>
        </w:rPr>
        <w:t>analysis</w:t>
      </w:r>
      <w:r w:rsidR="005250D9">
        <w:rPr>
          <w:rFonts w:ascii="Arial" w:hAnsi="Arial" w:cs="Arial"/>
          <w:sz w:val="20"/>
          <w:szCs w:val="20"/>
        </w:rPr>
        <w:t xml:space="preserve"> sheets.</w:t>
      </w:r>
    </w:p>
    <w:p w14:paraId="0ED8EA87" w14:textId="34557BBB" w:rsidR="0078592C" w:rsidRPr="006869FB" w:rsidRDefault="0078592C" w:rsidP="0020756E">
      <w:pPr>
        <w:pStyle w:val="Heading2"/>
        <w:spacing w:before="120"/>
        <w:rPr>
          <w:rFonts w:ascii="Arial" w:hAnsi="Arial" w:cs="Arial"/>
          <w:sz w:val="20"/>
          <w:szCs w:val="20"/>
        </w:rPr>
      </w:pPr>
      <w:r w:rsidRPr="006869FB">
        <w:rPr>
          <w:rFonts w:ascii="Arial" w:hAnsi="Arial" w:cs="Arial"/>
          <w:sz w:val="20"/>
          <w:szCs w:val="20"/>
        </w:rPr>
        <w:t>Treatment</w:t>
      </w:r>
      <w:r w:rsidR="00C24FAF" w:rsidRPr="006869FB">
        <w:rPr>
          <w:rFonts w:ascii="Arial" w:hAnsi="Arial" w:cs="Arial"/>
          <w:sz w:val="20"/>
          <w:szCs w:val="20"/>
        </w:rPr>
        <w:t xml:space="preserve"> </w:t>
      </w:r>
    </w:p>
    <w:p w14:paraId="019509FB" w14:textId="5BBFFC45" w:rsidR="0004459B" w:rsidRPr="00864E70" w:rsidRDefault="0004459B" w:rsidP="00A6629D">
      <w:pPr>
        <w:pStyle w:val="ListParagraph"/>
        <w:numPr>
          <w:ilvl w:val="0"/>
          <w:numId w:val="3"/>
        </w:numPr>
        <w:spacing w:before="120"/>
        <w:jc w:val="both"/>
        <w:rPr>
          <w:rFonts w:ascii="Arial" w:hAnsi="Arial" w:cs="Arial"/>
          <w:sz w:val="20"/>
          <w:szCs w:val="20"/>
        </w:rPr>
      </w:pPr>
      <w:proofErr w:type="gramStart"/>
      <w:r w:rsidRPr="00864E70">
        <w:rPr>
          <w:rFonts w:ascii="Arial" w:hAnsi="Arial" w:cs="Arial"/>
          <w:sz w:val="20"/>
          <w:szCs w:val="20"/>
        </w:rPr>
        <w:t>In order to</w:t>
      </w:r>
      <w:proofErr w:type="gramEnd"/>
      <w:r w:rsidRPr="00864E70">
        <w:rPr>
          <w:rFonts w:ascii="Arial" w:hAnsi="Arial" w:cs="Arial"/>
          <w:sz w:val="20"/>
          <w:szCs w:val="20"/>
        </w:rPr>
        <w:t xml:space="preserve"> estimate the projected requirement of ACTs by year, </w:t>
      </w:r>
      <w:r w:rsidR="00352A7B" w:rsidRPr="00864E70">
        <w:rPr>
          <w:rFonts w:ascii="Arial" w:hAnsi="Arial" w:cs="Arial"/>
          <w:sz w:val="20"/>
          <w:szCs w:val="20"/>
        </w:rPr>
        <w:t xml:space="preserve">ACT </w:t>
      </w:r>
      <w:r w:rsidRPr="00864E70">
        <w:rPr>
          <w:rFonts w:ascii="Arial" w:hAnsi="Arial" w:cs="Arial"/>
          <w:sz w:val="20"/>
          <w:szCs w:val="20"/>
        </w:rPr>
        <w:t xml:space="preserve">consumption data </w:t>
      </w:r>
      <w:r w:rsidR="00010C82" w:rsidRPr="00864E70">
        <w:rPr>
          <w:rFonts w:ascii="Arial" w:hAnsi="Arial" w:cs="Arial"/>
          <w:sz w:val="20"/>
          <w:szCs w:val="20"/>
        </w:rPr>
        <w:t>are</w:t>
      </w:r>
      <w:r w:rsidRPr="00864E70">
        <w:rPr>
          <w:rFonts w:ascii="Arial" w:hAnsi="Arial" w:cs="Arial"/>
          <w:sz w:val="20"/>
          <w:szCs w:val="20"/>
        </w:rPr>
        <w:t xml:space="preserve"> </w:t>
      </w:r>
      <w:r w:rsidR="00C42DD9" w:rsidRPr="00864E70">
        <w:rPr>
          <w:rFonts w:ascii="Arial" w:hAnsi="Arial" w:cs="Arial"/>
          <w:sz w:val="20"/>
          <w:szCs w:val="20"/>
        </w:rPr>
        <w:t>preferred</w:t>
      </w:r>
      <w:r w:rsidRPr="00864E70">
        <w:rPr>
          <w:rFonts w:ascii="Arial" w:hAnsi="Arial" w:cs="Arial"/>
          <w:sz w:val="20"/>
          <w:szCs w:val="20"/>
        </w:rPr>
        <w:t xml:space="preserve"> where available</w:t>
      </w:r>
      <w:r w:rsidR="00C24FAF" w:rsidRPr="00864E70">
        <w:rPr>
          <w:rFonts w:ascii="Arial" w:hAnsi="Arial" w:cs="Arial"/>
          <w:sz w:val="20"/>
          <w:szCs w:val="20"/>
        </w:rPr>
        <w:t>,</w:t>
      </w:r>
      <w:r w:rsidR="00C9728B" w:rsidRPr="00864E70">
        <w:rPr>
          <w:rFonts w:ascii="Arial" w:hAnsi="Arial" w:cs="Arial"/>
          <w:sz w:val="20"/>
          <w:szCs w:val="20"/>
        </w:rPr>
        <w:t xml:space="preserve"> but epidemiological estimates can also be used</w:t>
      </w:r>
      <w:r w:rsidR="006E12ED">
        <w:rPr>
          <w:rFonts w:ascii="Arial" w:hAnsi="Arial" w:cs="Arial"/>
          <w:sz w:val="20"/>
          <w:szCs w:val="20"/>
        </w:rPr>
        <w:t>, or a combination of the two</w:t>
      </w:r>
      <w:r w:rsidR="000D21FB" w:rsidRPr="00864E70">
        <w:rPr>
          <w:rFonts w:ascii="Arial" w:hAnsi="Arial" w:cs="Arial"/>
          <w:sz w:val="20"/>
          <w:szCs w:val="20"/>
        </w:rPr>
        <w:t>.</w:t>
      </w:r>
      <w:r w:rsidR="007E15EB" w:rsidRPr="00864E70">
        <w:rPr>
          <w:rFonts w:ascii="Arial" w:hAnsi="Arial" w:cs="Arial"/>
          <w:sz w:val="20"/>
          <w:szCs w:val="20"/>
        </w:rPr>
        <w:t xml:space="preserve"> </w:t>
      </w:r>
      <w:r w:rsidR="00FC2AFA" w:rsidRPr="00864E70">
        <w:rPr>
          <w:rFonts w:ascii="Arial" w:hAnsi="Arial" w:cs="Arial"/>
          <w:sz w:val="20"/>
          <w:szCs w:val="20"/>
        </w:rPr>
        <w:t xml:space="preserve">The proportional contribution to access (service delivery access </w:t>
      </w:r>
      <w:r w:rsidR="00E80746" w:rsidRPr="00864E70">
        <w:rPr>
          <w:rFonts w:ascii="Arial" w:hAnsi="Arial" w:cs="Arial"/>
          <w:sz w:val="20"/>
          <w:szCs w:val="20"/>
        </w:rPr>
        <w:t xml:space="preserve">by </w:t>
      </w:r>
      <w:r w:rsidR="00FC2AFA" w:rsidRPr="00864E70">
        <w:rPr>
          <w:rFonts w:ascii="Arial" w:hAnsi="Arial" w:cs="Arial"/>
          <w:sz w:val="20"/>
          <w:szCs w:val="20"/>
        </w:rPr>
        <w:t>sector) from each sector: public, community case management and private sector should be estimated and broken down by each sector.  This share by sector may change over time</w:t>
      </w:r>
      <w:r w:rsidR="006E12ED">
        <w:rPr>
          <w:rFonts w:ascii="Arial" w:hAnsi="Arial" w:cs="Arial"/>
          <w:sz w:val="20"/>
          <w:szCs w:val="20"/>
        </w:rPr>
        <w:t xml:space="preserve">, </w:t>
      </w:r>
      <w:r w:rsidR="00FC2AFA" w:rsidRPr="00864E70">
        <w:rPr>
          <w:rFonts w:ascii="Arial" w:hAnsi="Arial" w:cs="Arial"/>
          <w:sz w:val="20"/>
          <w:szCs w:val="20"/>
        </w:rPr>
        <w:t xml:space="preserve">for example, with shifts in treatment seeking in the public or private sector. </w:t>
      </w:r>
    </w:p>
    <w:p w14:paraId="59AF9E82" w14:textId="4E2A3E76" w:rsidR="00F84EBB" w:rsidRPr="006869FB" w:rsidRDefault="00E80746" w:rsidP="00A6629D">
      <w:pPr>
        <w:pStyle w:val="ListParagraph"/>
        <w:numPr>
          <w:ilvl w:val="0"/>
          <w:numId w:val="3"/>
        </w:numPr>
        <w:spacing w:before="120"/>
        <w:jc w:val="both"/>
        <w:rPr>
          <w:rFonts w:ascii="Arial" w:hAnsi="Arial" w:cs="Arial"/>
          <w:sz w:val="20"/>
          <w:szCs w:val="20"/>
        </w:rPr>
      </w:pPr>
      <w:r w:rsidRPr="006869FB">
        <w:rPr>
          <w:rFonts w:ascii="Arial" w:hAnsi="Arial" w:cs="Arial"/>
          <w:sz w:val="20"/>
          <w:szCs w:val="20"/>
        </w:rPr>
        <w:t>The proportion of malaria cases that are to be treated with ACTs should be aligned with the targets in the NSP and this should include the different coverage target</w:t>
      </w:r>
      <w:r w:rsidR="00F84EBB" w:rsidRPr="006869FB">
        <w:rPr>
          <w:rFonts w:ascii="Arial" w:hAnsi="Arial" w:cs="Arial"/>
          <w:sz w:val="20"/>
          <w:szCs w:val="20"/>
        </w:rPr>
        <w:t>s</w:t>
      </w:r>
      <w:r w:rsidRPr="006869FB">
        <w:rPr>
          <w:rFonts w:ascii="Arial" w:hAnsi="Arial" w:cs="Arial"/>
          <w:sz w:val="20"/>
          <w:szCs w:val="20"/>
        </w:rPr>
        <w:t xml:space="preserve"> for each sector (</w:t>
      </w:r>
      <w:r w:rsidR="00D15994" w:rsidRPr="006869FB">
        <w:rPr>
          <w:rFonts w:ascii="Arial" w:hAnsi="Arial" w:cs="Arial"/>
          <w:sz w:val="20"/>
          <w:szCs w:val="20"/>
        </w:rPr>
        <w:t>e.g.,</w:t>
      </w:r>
      <w:r w:rsidRPr="006869FB">
        <w:rPr>
          <w:rFonts w:ascii="Arial" w:hAnsi="Arial" w:cs="Arial"/>
          <w:sz w:val="20"/>
          <w:szCs w:val="20"/>
        </w:rPr>
        <w:t xml:space="preserve"> public health facilities 100% of malaria cases targeted, </w:t>
      </w:r>
      <w:proofErr w:type="spellStart"/>
      <w:r w:rsidRPr="006869FB">
        <w:rPr>
          <w:rFonts w:ascii="Arial" w:hAnsi="Arial" w:cs="Arial"/>
          <w:sz w:val="20"/>
          <w:szCs w:val="20"/>
        </w:rPr>
        <w:t>iCCM</w:t>
      </w:r>
      <w:proofErr w:type="spellEnd"/>
      <w:r w:rsidRPr="006869FB">
        <w:rPr>
          <w:rFonts w:ascii="Arial" w:hAnsi="Arial" w:cs="Arial"/>
          <w:sz w:val="20"/>
          <w:szCs w:val="20"/>
        </w:rPr>
        <w:t xml:space="preserve"> 100%, private sector 15%)</w:t>
      </w:r>
      <w:r w:rsidR="00F84EBB" w:rsidRPr="006869FB">
        <w:rPr>
          <w:rFonts w:ascii="Arial" w:hAnsi="Arial" w:cs="Arial"/>
          <w:sz w:val="20"/>
          <w:szCs w:val="20"/>
        </w:rPr>
        <w:t>.</w:t>
      </w:r>
      <w:r w:rsidR="0031465A" w:rsidRPr="006869FB">
        <w:rPr>
          <w:rFonts w:ascii="Arial" w:hAnsi="Arial" w:cs="Arial"/>
          <w:sz w:val="20"/>
          <w:szCs w:val="20"/>
        </w:rPr>
        <w:t xml:space="preserve"> Do not include the malaria cases that are not accessing care and are not reached</w:t>
      </w:r>
      <w:r w:rsidR="006F4480">
        <w:rPr>
          <w:rFonts w:ascii="Arial" w:hAnsi="Arial" w:cs="Arial"/>
          <w:sz w:val="20"/>
          <w:szCs w:val="20"/>
        </w:rPr>
        <w:t xml:space="preserve">, for example, if you do not have a programme that targets </w:t>
      </w:r>
      <w:r w:rsidR="00F5159A">
        <w:rPr>
          <w:rFonts w:ascii="Arial" w:hAnsi="Arial" w:cs="Arial"/>
          <w:sz w:val="20"/>
          <w:szCs w:val="20"/>
        </w:rPr>
        <w:t>the informal private sector, do not include these in your target</w:t>
      </w:r>
      <w:r w:rsidR="0031465A" w:rsidRPr="006869FB">
        <w:rPr>
          <w:rFonts w:ascii="Arial" w:hAnsi="Arial" w:cs="Arial"/>
          <w:sz w:val="20"/>
          <w:szCs w:val="20"/>
        </w:rPr>
        <w:t>.</w:t>
      </w:r>
    </w:p>
    <w:p w14:paraId="512CB575" w14:textId="46E05952" w:rsidR="00F84EBB" w:rsidRDefault="00F84EBB" w:rsidP="00A6629D">
      <w:pPr>
        <w:pStyle w:val="ListParagraph"/>
        <w:numPr>
          <w:ilvl w:val="0"/>
          <w:numId w:val="3"/>
        </w:numPr>
        <w:spacing w:before="120"/>
        <w:jc w:val="both"/>
        <w:rPr>
          <w:rFonts w:ascii="Arial" w:hAnsi="Arial" w:cs="Arial"/>
          <w:sz w:val="20"/>
          <w:szCs w:val="20"/>
        </w:rPr>
      </w:pPr>
      <w:r w:rsidRPr="006869FB">
        <w:rPr>
          <w:rFonts w:ascii="Arial" w:hAnsi="Arial" w:cs="Arial"/>
          <w:sz w:val="20"/>
          <w:szCs w:val="20"/>
        </w:rPr>
        <w:t>Multiply the number of ACTs required by each sector by the proportion of malaria cases in each sector.</w:t>
      </w:r>
    </w:p>
    <w:p w14:paraId="4DAC89E5" w14:textId="4D96D07A" w:rsidR="0078592C" w:rsidRPr="004D41A7" w:rsidRDefault="003021C1" w:rsidP="00A6629D">
      <w:pPr>
        <w:pStyle w:val="ListParagraph"/>
        <w:numPr>
          <w:ilvl w:val="0"/>
          <w:numId w:val="3"/>
        </w:numPr>
        <w:spacing w:before="120"/>
        <w:jc w:val="both"/>
        <w:rPr>
          <w:rFonts w:ascii="Arial" w:hAnsi="Arial" w:cs="Arial"/>
          <w:sz w:val="20"/>
          <w:szCs w:val="20"/>
        </w:rPr>
      </w:pPr>
      <w:r w:rsidRPr="004D41A7">
        <w:rPr>
          <w:rFonts w:ascii="Arial" w:hAnsi="Arial" w:cs="Arial"/>
          <w:sz w:val="20"/>
          <w:szCs w:val="20"/>
        </w:rPr>
        <w:t xml:space="preserve">Estimate the total number of ACTs financed, by sector, through domestic and </w:t>
      </w:r>
      <w:r w:rsidR="00822FBB" w:rsidRPr="004D41A7">
        <w:rPr>
          <w:rFonts w:ascii="Arial" w:hAnsi="Arial" w:cs="Arial"/>
          <w:sz w:val="20"/>
          <w:szCs w:val="20"/>
        </w:rPr>
        <w:t>external resources</w:t>
      </w:r>
      <w:r w:rsidR="004D41A7" w:rsidRPr="004D41A7">
        <w:rPr>
          <w:rFonts w:ascii="Arial" w:hAnsi="Arial" w:cs="Arial"/>
          <w:sz w:val="20"/>
          <w:szCs w:val="20"/>
        </w:rPr>
        <w:t xml:space="preserve">, </w:t>
      </w:r>
      <w:r w:rsidR="004D41A7">
        <w:rPr>
          <w:rFonts w:ascii="Arial" w:hAnsi="Arial" w:cs="Arial"/>
          <w:sz w:val="20"/>
          <w:szCs w:val="20"/>
        </w:rPr>
        <w:t>s</w:t>
      </w:r>
      <w:r w:rsidR="0078592C" w:rsidRPr="004D41A7">
        <w:rPr>
          <w:rFonts w:ascii="Arial" w:hAnsi="Arial" w:cs="Arial"/>
          <w:sz w:val="20"/>
          <w:szCs w:val="20"/>
        </w:rPr>
        <w:t>ubtract the number of ACTs financed from the number required to calculate the gap</w:t>
      </w:r>
      <w:r w:rsidR="00B06985" w:rsidRPr="004D41A7">
        <w:rPr>
          <w:rFonts w:ascii="Arial" w:hAnsi="Arial" w:cs="Arial"/>
          <w:sz w:val="20"/>
          <w:szCs w:val="20"/>
        </w:rPr>
        <w:t xml:space="preserve"> by sector</w:t>
      </w:r>
      <w:r w:rsidR="00E906B3">
        <w:rPr>
          <w:rFonts w:ascii="Arial" w:hAnsi="Arial" w:cs="Arial"/>
          <w:sz w:val="20"/>
          <w:szCs w:val="20"/>
        </w:rPr>
        <w:t xml:space="preserve">. Highlight the number of ACTs to be financed through the Global Fund Allocation. Note any outstanding </w:t>
      </w:r>
      <w:r w:rsidR="00D15994">
        <w:rPr>
          <w:rFonts w:ascii="Arial" w:hAnsi="Arial" w:cs="Arial"/>
          <w:sz w:val="20"/>
          <w:szCs w:val="20"/>
        </w:rPr>
        <w:t>gap and</w:t>
      </w:r>
      <w:r w:rsidR="00E906B3">
        <w:rPr>
          <w:rFonts w:ascii="Arial" w:hAnsi="Arial" w:cs="Arial"/>
          <w:sz w:val="20"/>
          <w:szCs w:val="20"/>
        </w:rPr>
        <w:t xml:space="preserve"> consider </w:t>
      </w:r>
      <w:r w:rsidR="00787C4A">
        <w:rPr>
          <w:rFonts w:ascii="Arial" w:hAnsi="Arial" w:cs="Arial"/>
          <w:sz w:val="20"/>
          <w:szCs w:val="20"/>
        </w:rPr>
        <w:t xml:space="preserve">funding this through the GF </w:t>
      </w:r>
      <w:proofErr w:type="spellStart"/>
      <w:r w:rsidR="00787C4A">
        <w:rPr>
          <w:rFonts w:ascii="Arial" w:hAnsi="Arial" w:cs="Arial"/>
          <w:sz w:val="20"/>
          <w:szCs w:val="20"/>
        </w:rPr>
        <w:t>Prioritised</w:t>
      </w:r>
      <w:proofErr w:type="spellEnd"/>
      <w:r w:rsidR="00787C4A">
        <w:rPr>
          <w:rFonts w:ascii="Arial" w:hAnsi="Arial" w:cs="Arial"/>
          <w:sz w:val="20"/>
          <w:szCs w:val="20"/>
        </w:rPr>
        <w:t xml:space="preserve"> Above Allocation.</w:t>
      </w:r>
    </w:p>
    <w:p w14:paraId="47E33C74" w14:textId="53A3419E" w:rsidR="00E1611B" w:rsidRPr="006869FB" w:rsidRDefault="0078592C" w:rsidP="00A6629D">
      <w:pPr>
        <w:pStyle w:val="ListParagraph"/>
        <w:numPr>
          <w:ilvl w:val="0"/>
          <w:numId w:val="3"/>
        </w:numPr>
        <w:spacing w:before="120"/>
        <w:jc w:val="both"/>
        <w:rPr>
          <w:rFonts w:ascii="Arial" w:hAnsi="Arial" w:cs="Arial"/>
          <w:sz w:val="20"/>
          <w:szCs w:val="20"/>
        </w:rPr>
      </w:pPr>
      <w:r w:rsidRPr="006869FB">
        <w:rPr>
          <w:rFonts w:ascii="Arial" w:hAnsi="Arial" w:cs="Arial"/>
          <w:sz w:val="20"/>
          <w:szCs w:val="20"/>
        </w:rPr>
        <w:t>Breakdown the required number of ACTs by age group in accordance with packaging requirements.</w:t>
      </w:r>
      <w:r w:rsidR="008F2B2F" w:rsidRPr="006869FB">
        <w:rPr>
          <w:rFonts w:ascii="Arial" w:hAnsi="Arial" w:cs="Arial"/>
          <w:sz w:val="20"/>
          <w:szCs w:val="20"/>
        </w:rPr>
        <w:t xml:space="preserve"> The ACT gap at the end of the worksheet represents the total number of MALARIA TREATMENTS. To determine the financial </w:t>
      </w:r>
      <w:r w:rsidR="00D54867" w:rsidRPr="006869FB">
        <w:rPr>
          <w:rFonts w:ascii="Arial" w:hAnsi="Arial" w:cs="Arial"/>
          <w:sz w:val="20"/>
          <w:szCs w:val="20"/>
        </w:rPr>
        <w:t>gap,</w:t>
      </w:r>
      <w:r w:rsidR="008F2B2F" w:rsidRPr="006869FB">
        <w:rPr>
          <w:rFonts w:ascii="Arial" w:hAnsi="Arial" w:cs="Arial"/>
          <w:sz w:val="20"/>
          <w:szCs w:val="20"/>
        </w:rPr>
        <w:t xml:space="preserve"> you would need to </w:t>
      </w:r>
      <w:r w:rsidR="00885952" w:rsidRPr="006869FB">
        <w:rPr>
          <w:rFonts w:ascii="Arial" w:hAnsi="Arial" w:cs="Arial"/>
          <w:sz w:val="20"/>
          <w:szCs w:val="20"/>
        </w:rPr>
        <w:t>allocate</w:t>
      </w:r>
      <w:r w:rsidR="008F2B2F" w:rsidRPr="006869FB">
        <w:rPr>
          <w:rFonts w:ascii="Arial" w:hAnsi="Arial" w:cs="Arial"/>
          <w:sz w:val="20"/>
          <w:szCs w:val="20"/>
        </w:rPr>
        <w:t xml:space="preserve"> this total requirement into treatment course</w:t>
      </w:r>
      <w:r w:rsidR="00885952" w:rsidRPr="006869FB">
        <w:rPr>
          <w:rFonts w:ascii="Arial" w:hAnsi="Arial" w:cs="Arial"/>
          <w:sz w:val="20"/>
          <w:szCs w:val="20"/>
        </w:rPr>
        <w:t>s per</w:t>
      </w:r>
      <w:r w:rsidR="008F2B2F" w:rsidRPr="006869FB">
        <w:rPr>
          <w:rFonts w:ascii="Arial" w:hAnsi="Arial" w:cs="Arial"/>
          <w:sz w:val="20"/>
          <w:szCs w:val="20"/>
        </w:rPr>
        <w:t xml:space="preserve"> appropriate age group. For </w:t>
      </w:r>
      <w:r w:rsidR="00D54867" w:rsidRPr="006869FB">
        <w:rPr>
          <w:rFonts w:ascii="Arial" w:hAnsi="Arial" w:cs="Arial"/>
          <w:sz w:val="20"/>
          <w:szCs w:val="20"/>
        </w:rPr>
        <w:t>example,</w:t>
      </w:r>
      <w:r w:rsidR="008F2B2F" w:rsidRPr="006869FB">
        <w:rPr>
          <w:rFonts w:ascii="Arial" w:hAnsi="Arial" w:cs="Arial"/>
          <w:sz w:val="20"/>
          <w:szCs w:val="20"/>
        </w:rPr>
        <w:t xml:space="preserve"> if the ACT in </w:t>
      </w:r>
      <w:r w:rsidR="00885952" w:rsidRPr="006869FB">
        <w:rPr>
          <w:rFonts w:ascii="Arial" w:hAnsi="Arial" w:cs="Arial"/>
          <w:sz w:val="20"/>
          <w:szCs w:val="20"/>
        </w:rPr>
        <w:t xml:space="preserve">use in </w:t>
      </w:r>
      <w:r w:rsidR="008F2B2F" w:rsidRPr="006869FB">
        <w:rPr>
          <w:rFonts w:ascii="Arial" w:hAnsi="Arial" w:cs="Arial"/>
          <w:sz w:val="20"/>
          <w:szCs w:val="20"/>
        </w:rPr>
        <w:t xml:space="preserve">country Y is artemether plus lumefantrine, the total treatment calculated should be </w:t>
      </w:r>
      <w:r w:rsidR="00885952" w:rsidRPr="006869FB">
        <w:rPr>
          <w:rFonts w:ascii="Arial" w:hAnsi="Arial" w:cs="Arial"/>
          <w:sz w:val="20"/>
          <w:szCs w:val="20"/>
        </w:rPr>
        <w:t>sub-</w:t>
      </w:r>
      <w:r w:rsidR="008F2B2F" w:rsidRPr="006869FB">
        <w:rPr>
          <w:rFonts w:ascii="Arial" w:hAnsi="Arial" w:cs="Arial"/>
          <w:sz w:val="20"/>
          <w:szCs w:val="20"/>
        </w:rPr>
        <w:t xml:space="preserve">divided </w:t>
      </w:r>
      <w:r w:rsidR="00885952" w:rsidRPr="006869FB">
        <w:rPr>
          <w:rFonts w:ascii="Arial" w:hAnsi="Arial" w:cs="Arial"/>
          <w:sz w:val="20"/>
          <w:szCs w:val="20"/>
        </w:rPr>
        <w:t xml:space="preserve">according </w:t>
      </w:r>
      <w:r w:rsidR="008F2B2F" w:rsidRPr="006869FB">
        <w:rPr>
          <w:rFonts w:ascii="Arial" w:hAnsi="Arial" w:cs="Arial"/>
          <w:sz w:val="20"/>
          <w:szCs w:val="20"/>
        </w:rPr>
        <w:t>to the four treatment pack size</w:t>
      </w:r>
      <w:r w:rsidR="00885952" w:rsidRPr="006869FB">
        <w:rPr>
          <w:rFonts w:ascii="Arial" w:hAnsi="Arial" w:cs="Arial"/>
          <w:sz w:val="20"/>
          <w:szCs w:val="20"/>
        </w:rPr>
        <w:t>s</w:t>
      </w:r>
      <w:r w:rsidR="008F2B2F" w:rsidRPr="006869FB">
        <w:rPr>
          <w:rFonts w:ascii="Arial" w:hAnsi="Arial" w:cs="Arial"/>
          <w:sz w:val="20"/>
          <w:szCs w:val="20"/>
        </w:rPr>
        <w:t xml:space="preserve"> </w:t>
      </w:r>
      <w:r w:rsidR="00885952" w:rsidRPr="006869FB">
        <w:rPr>
          <w:rFonts w:ascii="Arial" w:hAnsi="Arial" w:cs="Arial"/>
          <w:sz w:val="20"/>
          <w:szCs w:val="20"/>
        </w:rPr>
        <w:t xml:space="preserve">for the different </w:t>
      </w:r>
      <w:r w:rsidR="008F2B2F" w:rsidRPr="006869FB">
        <w:rPr>
          <w:rFonts w:ascii="Arial" w:hAnsi="Arial" w:cs="Arial"/>
          <w:sz w:val="20"/>
          <w:szCs w:val="20"/>
        </w:rPr>
        <w:t>age group</w:t>
      </w:r>
      <w:r w:rsidR="00885952" w:rsidRPr="006869FB">
        <w:rPr>
          <w:rFonts w:ascii="Arial" w:hAnsi="Arial" w:cs="Arial"/>
          <w:sz w:val="20"/>
          <w:szCs w:val="20"/>
        </w:rPr>
        <w:t>s</w:t>
      </w:r>
      <w:r w:rsidR="008F2B2F" w:rsidRPr="006869FB">
        <w:rPr>
          <w:rFonts w:ascii="Arial" w:hAnsi="Arial" w:cs="Arial"/>
          <w:sz w:val="20"/>
          <w:szCs w:val="20"/>
        </w:rPr>
        <w:t xml:space="preserve">. The country population profile </w:t>
      </w:r>
      <w:r w:rsidR="00885952" w:rsidRPr="006869FB">
        <w:rPr>
          <w:rFonts w:ascii="Arial" w:hAnsi="Arial" w:cs="Arial"/>
          <w:sz w:val="20"/>
          <w:szCs w:val="20"/>
        </w:rPr>
        <w:t xml:space="preserve">and the proportion of cases in each age group </w:t>
      </w:r>
      <w:r w:rsidR="008F2B2F" w:rsidRPr="006869FB">
        <w:rPr>
          <w:rFonts w:ascii="Arial" w:hAnsi="Arial" w:cs="Arial"/>
          <w:sz w:val="20"/>
          <w:szCs w:val="20"/>
        </w:rPr>
        <w:t>should be used to make this division.  The financial gap is then determined by applying the respective pack specific prices to the needs.</w:t>
      </w:r>
    </w:p>
    <w:p w14:paraId="6F32FA5F" w14:textId="71AAD506" w:rsidR="008F2B2F" w:rsidRDefault="00E1611B" w:rsidP="00A6629D">
      <w:pPr>
        <w:pStyle w:val="ListParagraph"/>
        <w:numPr>
          <w:ilvl w:val="0"/>
          <w:numId w:val="3"/>
        </w:numPr>
        <w:spacing w:before="120"/>
        <w:jc w:val="both"/>
        <w:rPr>
          <w:rFonts w:ascii="Arial" w:hAnsi="Arial" w:cs="Arial"/>
          <w:sz w:val="20"/>
          <w:szCs w:val="20"/>
        </w:rPr>
      </w:pPr>
      <w:r w:rsidRPr="006869FB">
        <w:rPr>
          <w:rFonts w:ascii="Arial" w:hAnsi="Arial" w:cs="Arial"/>
          <w:sz w:val="20"/>
          <w:szCs w:val="20"/>
        </w:rPr>
        <w:lastRenderedPageBreak/>
        <w:t xml:space="preserve">For countries deploying more than one ACT, note the breakdown in the </w:t>
      </w:r>
      <w:r w:rsidR="00583C9D" w:rsidRPr="006869FB">
        <w:rPr>
          <w:rFonts w:ascii="Arial" w:hAnsi="Arial" w:cs="Arial"/>
          <w:sz w:val="20"/>
          <w:szCs w:val="20"/>
        </w:rPr>
        <w:t>gap analysis table.</w:t>
      </w:r>
      <w:r w:rsidR="005C1E38">
        <w:rPr>
          <w:rFonts w:ascii="Arial" w:hAnsi="Arial" w:cs="Arial"/>
          <w:sz w:val="20"/>
          <w:szCs w:val="20"/>
        </w:rPr>
        <w:t xml:space="preserve"> This should be based on </w:t>
      </w:r>
      <w:r w:rsidR="0027717C">
        <w:rPr>
          <w:rFonts w:ascii="Arial" w:hAnsi="Arial" w:cs="Arial"/>
          <w:sz w:val="20"/>
          <w:szCs w:val="20"/>
        </w:rPr>
        <w:t xml:space="preserve">targets set in the national strategic plan, and from sub-national stratification and tailoring and may be </w:t>
      </w:r>
      <w:r w:rsidR="00A746AB">
        <w:rPr>
          <w:rFonts w:ascii="Arial" w:hAnsi="Arial" w:cs="Arial"/>
          <w:sz w:val="20"/>
          <w:szCs w:val="20"/>
        </w:rPr>
        <w:t>targeting specific age groups, such as children under five years of age or geographical areas.</w:t>
      </w:r>
      <w:r w:rsidR="008F2B2F" w:rsidRPr="006869FB">
        <w:rPr>
          <w:rFonts w:ascii="Arial" w:hAnsi="Arial" w:cs="Arial"/>
          <w:sz w:val="20"/>
          <w:szCs w:val="20"/>
        </w:rPr>
        <w:t xml:space="preserve"> </w:t>
      </w:r>
    </w:p>
    <w:p w14:paraId="3F14BAD5" w14:textId="77777777" w:rsidR="002618CF" w:rsidRPr="002618CF" w:rsidRDefault="002618CF" w:rsidP="002618CF">
      <w:pPr>
        <w:pStyle w:val="Heading2"/>
        <w:spacing w:before="120"/>
        <w:rPr>
          <w:rFonts w:ascii="Arial" w:hAnsi="Arial" w:cs="Arial"/>
          <w:sz w:val="20"/>
          <w:szCs w:val="20"/>
        </w:rPr>
      </w:pPr>
      <w:r w:rsidRPr="002618CF">
        <w:rPr>
          <w:rFonts w:ascii="Arial" w:hAnsi="Arial" w:cs="Arial"/>
          <w:sz w:val="20"/>
          <w:szCs w:val="20"/>
        </w:rPr>
        <w:t>Severe Malaria</w:t>
      </w:r>
    </w:p>
    <w:p w14:paraId="2D1789FA" w14:textId="77777777" w:rsidR="00FF46F3" w:rsidRPr="00FF46F3" w:rsidRDefault="007B4B0A" w:rsidP="00FF46F3">
      <w:pPr>
        <w:pStyle w:val="ListParagraph"/>
        <w:numPr>
          <w:ilvl w:val="0"/>
          <w:numId w:val="17"/>
        </w:numPr>
        <w:spacing w:before="120"/>
        <w:jc w:val="both"/>
        <w:rPr>
          <w:rFonts w:ascii="Arial" w:hAnsi="Arial" w:cs="Arial"/>
          <w:sz w:val="20"/>
          <w:szCs w:val="20"/>
        </w:rPr>
      </w:pPr>
      <w:r w:rsidRPr="007B4B0A">
        <w:rPr>
          <w:rFonts w:ascii="Arial" w:hAnsi="Arial" w:cs="Arial"/>
          <w:sz w:val="20"/>
          <w:szCs w:val="20"/>
        </w:rPr>
        <w:t>For the total number of severe malaria cases, u</w:t>
      </w:r>
      <w:r w:rsidR="00F85E19" w:rsidRPr="007B4B0A">
        <w:rPr>
          <w:rFonts w:ascii="Arial" w:hAnsi="Arial" w:cs="Arial"/>
          <w:sz w:val="20"/>
          <w:szCs w:val="20"/>
        </w:rPr>
        <w:t xml:space="preserve">se the </w:t>
      </w:r>
      <w:r w:rsidRPr="007B4B0A">
        <w:rPr>
          <w:rFonts w:ascii="Arial" w:hAnsi="Arial" w:cs="Arial"/>
          <w:sz w:val="20"/>
          <w:szCs w:val="20"/>
        </w:rPr>
        <w:t xml:space="preserve">number of estimated malaria cases in the ACT gap analysis. </w:t>
      </w:r>
      <w:r>
        <w:rPr>
          <w:rFonts w:ascii="Arial" w:hAnsi="Arial" w:cs="Arial"/>
          <w:sz w:val="20"/>
          <w:szCs w:val="20"/>
        </w:rPr>
        <w:t xml:space="preserve">Use local data to define </w:t>
      </w:r>
      <w:r w:rsidR="00F85E19" w:rsidRPr="007B4B0A">
        <w:rPr>
          <w:rFonts w:ascii="Arial" w:hAnsi="Arial" w:cs="Arial"/>
          <w:sz w:val="20"/>
          <w:szCs w:val="20"/>
        </w:rPr>
        <w:t xml:space="preserve">the proportion of uncomplicated malaria cases that </w:t>
      </w:r>
      <w:r>
        <w:rPr>
          <w:rFonts w:ascii="Arial" w:hAnsi="Arial" w:cs="Arial"/>
          <w:sz w:val="20"/>
          <w:szCs w:val="20"/>
        </w:rPr>
        <w:t xml:space="preserve">are </w:t>
      </w:r>
      <w:r w:rsidR="00F85E19" w:rsidRPr="007B4B0A">
        <w:rPr>
          <w:rFonts w:ascii="Arial" w:hAnsi="Arial" w:cs="Arial"/>
          <w:sz w:val="20"/>
          <w:szCs w:val="20"/>
        </w:rPr>
        <w:t xml:space="preserve">estimated to progress to severe disease. </w:t>
      </w:r>
      <w:r>
        <w:rPr>
          <w:rFonts w:ascii="Arial" w:hAnsi="Arial" w:cs="Arial"/>
          <w:sz w:val="20"/>
          <w:szCs w:val="20"/>
        </w:rPr>
        <w:t xml:space="preserve">This should be </w:t>
      </w:r>
      <w:r w:rsidR="00F85E19" w:rsidRPr="007B4B0A">
        <w:rPr>
          <w:rFonts w:ascii="Arial" w:hAnsi="Arial" w:cs="Arial"/>
          <w:sz w:val="20"/>
          <w:szCs w:val="20"/>
        </w:rPr>
        <w:t>less than 5%</w:t>
      </w:r>
      <w:r>
        <w:rPr>
          <w:rFonts w:ascii="Arial" w:hAnsi="Arial" w:cs="Arial"/>
          <w:sz w:val="20"/>
          <w:szCs w:val="20"/>
        </w:rPr>
        <w:t xml:space="preserve">. </w:t>
      </w:r>
      <w:r w:rsidR="00F85E19" w:rsidRPr="007B4B0A">
        <w:rPr>
          <w:rFonts w:ascii="Arial" w:hAnsi="Arial" w:cs="Arial"/>
          <w:sz w:val="20"/>
          <w:szCs w:val="20"/>
        </w:rPr>
        <w:tab/>
      </w:r>
      <w:r w:rsidR="00FF46F3" w:rsidRPr="00FF46F3">
        <w:rPr>
          <w:rFonts w:ascii="Arial" w:hAnsi="Arial" w:cs="Arial"/>
          <w:sz w:val="20"/>
          <w:szCs w:val="20"/>
        </w:rPr>
        <w:t xml:space="preserve">Insert the % of severe malaria cases to be </w:t>
      </w:r>
      <w:proofErr w:type="gramStart"/>
      <w:r w:rsidR="00FF46F3" w:rsidRPr="00FF46F3">
        <w:rPr>
          <w:rFonts w:ascii="Arial" w:hAnsi="Arial" w:cs="Arial"/>
          <w:sz w:val="20"/>
          <w:szCs w:val="20"/>
        </w:rPr>
        <w:t>targeted  in</w:t>
      </w:r>
      <w:proofErr w:type="gramEnd"/>
      <w:r w:rsidR="00FF46F3" w:rsidRPr="00FF46F3">
        <w:rPr>
          <w:rFonts w:ascii="Arial" w:hAnsi="Arial" w:cs="Arial"/>
          <w:sz w:val="20"/>
          <w:szCs w:val="20"/>
        </w:rPr>
        <w:t xml:space="preserve"> the National Strategic Plan</w:t>
      </w:r>
      <w:r w:rsidR="00FF46F3" w:rsidRPr="00FF46F3">
        <w:rPr>
          <w:rFonts w:ascii="Arial" w:hAnsi="Arial" w:cs="Arial"/>
          <w:sz w:val="20"/>
          <w:szCs w:val="20"/>
        </w:rPr>
        <w:tab/>
      </w:r>
    </w:p>
    <w:p w14:paraId="7B14F583" w14:textId="4C51A151" w:rsidR="00FF46F3" w:rsidRPr="00FF46F3" w:rsidRDefault="00FF46F3" w:rsidP="00FF46F3">
      <w:pPr>
        <w:pStyle w:val="ListParagraph"/>
        <w:numPr>
          <w:ilvl w:val="0"/>
          <w:numId w:val="17"/>
        </w:numPr>
        <w:spacing w:before="120"/>
        <w:jc w:val="both"/>
        <w:rPr>
          <w:rFonts w:ascii="Arial" w:hAnsi="Arial" w:cs="Arial"/>
          <w:sz w:val="20"/>
          <w:szCs w:val="20"/>
        </w:rPr>
      </w:pPr>
      <w:r w:rsidRPr="00FF46F3">
        <w:rPr>
          <w:rFonts w:ascii="Arial" w:hAnsi="Arial" w:cs="Arial"/>
          <w:sz w:val="20"/>
          <w:szCs w:val="20"/>
        </w:rPr>
        <w:t xml:space="preserve">Multiply the total number of severe cases by the target coverage </w:t>
      </w:r>
      <w:r w:rsidRPr="00FF46F3">
        <w:rPr>
          <w:rFonts w:ascii="Arial" w:hAnsi="Arial" w:cs="Arial"/>
          <w:sz w:val="20"/>
          <w:szCs w:val="20"/>
        </w:rPr>
        <w:tab/>
      </w:r>
      <w:r>
        <w:rPr>
          <w:rFonts w:ascii="Arial" w:hAnsi="Arial" w:cs="Arial"/>
          <w:sz w:val="20"/>
          <w:szCs w:val="20"/>
        </w:rPr>
        <w:t>in the NSP</w:t>
      </w:r>
    </w:p>
    <w:p w14:paraId="3477E08C" w14:textId="34207AD2" w:rsidR="00FF46F3" w:rsidRPr="00FF46F3" w:rsidRDefault="00FF46F3" w:rsidP="00674C6E">
      <w:pPr>
        <w:pStyle w:val="ListParagraph"/>
        <w:numPr>
          <w:ilvl w:val="0"/>
          <w:numId w:val="17"/>
        </w:numPr>
        <w:spacing w:before="120"/>
        <w:jc w:val="both"/>
        <w:rPr>
          <w:rFonts w:ascii="Arial" w:hAnsi="Arial" w:cs="Arial"/>
          <w:sz w:val="20"/>
          <w:szCs w:val="20"/>
        </w:rPr>
      </w:pPr>
      <w:r w:rsidRPr="00FF46F3">
        <w:rPr>
          <w:rFonts w:ascii="Arial" w:hAnsi="Arial" w:cs="Arial"/>
          <w:sz w:val="20"/>
          <w:szCs w:val="20"/>
        </w:rPr>
        <w:t>Insert the proportion of severe malaria cases managed (pre-</w:t>
      </w:r>
      <w:proofErr w:type="spellStart"/>
      <w:r w:rsidRPr="00FF46F3">
        <w:rPr>
          <w:rFonts w:ascii="Arial" w:hAnsi="Arial" w:cs="Arial"/>
          <w:sz w:val="20"/>
          <w:szCs w:val="20"/>
        </w:rPr>
        <w:t>referal</w:t>
      </w:r>
      <w:proofErr w:type="spellEnd"/>
      <w:r w:rsidRPr="00FF46F3">
        <w:rPr>
          <w:rFonts w:ascii="Arial" w:hAnsi="Arial" w:cs="Arial"/>
          <w:sz w:val="20"/>
          <w:szCs w:val="20"/>
        </w:rPr>
        <w:t xml:space="preserve"> treatment, </w:t>
      </w:r>
      <w:proofErr w:type="spellStart"/>
      <w:r w:rsidRPr="00FF46F3">
        <w:rPr>
          <w:rFonts w:ascii="Arial" w:hAnsi="Arial" w:cs="Arial"/>
          <w:sz w:val="20"/>
          <w:szCs w:val="20"/>
        </w:rPr>
        <w:t>e.g</w:t>
      </w:r>
      <w:proofErr w:type="spellEnd"/>
      <w:r w:rsidRPr="00FF46F3">
        <w:rPr>
          <w:rFonts w:ascii="Arial" w:hAnsi="Arial" w:cs="Arial"/>
          <w:sz w:val="20"/>
          <w:szCs w:val="20"/>
        </w:rPr>
        <w:t xml:space="preserve"> rectal artesunate) through community case management and /or primary health care level. Multiply the proportion of severe malaria cases managed (pre-</w:t>
      </w:r>
      <w:proofErr w:type="spellStart"/>
      <w:r w:rsidRPr="00FF46F3">
        <w:rPr>
          <w:rFonts w:ascii="Arial" w:hAnsi="Arial" w:cs="Arial"/>
          <w:sz w:val="20"/>
          <w:szCs w:val="20"/>
        </w:rPr>
        <w:t>referal</w:t>
      </w:r>
      <w:proofErr w:type="spellEnd"/>
      <w:r w:rsidRPr="00FF46F3">
        <w:rPr>
          <w:rFonts w:ascii="Arial" w:hAnsi="Arial" w:cs="Arial"/>
          <w:sz w:val="20"/>
          <w:szCs w:val="20"/>
        </w:rPr>
        <w:t xml:space="preserve"> treatment, </w:t>
      </w:r>
      <w:proofErr w:type="spellStart"/>
      <w:r w:rsidRPr="00FF46F3">
        <w:rPr>
          <w:rFonts w:ascii="Arial" w:hAnsi="Arial" w:cs="Arial"/>
          <w:sz w:val="20"/>
          <w:szCs w:val="20"/>
        </w:rPr>
        <w:t>e.g</w:t>
      </w:r>
      <w:proofErr w:type="spellEnd"/>
      <w:r w:rsidRPr="00FF46F3">
        <w:rPr>
          <w:rFonts w:ascii="Arial" w:hAnsi="Arial" w:cs="Arial"/>
          <w:sz w:val="20"/>
          <w:szCs w:val="20"/>
        </w:rPr>
        <w:t xml:space="preserve"> rectal artesunate) through community case management and /or primary health care level by the total number of severe cases</w:t>
      </w:r>
      <w:r w:rsidRPr="00FF46F3">
        <w:rPr>
          <w:rFonts w:ascii="Arial" w:hAnsi="Arial" w:cs="Arial"/>
          <w:sz w:val="20"/>
          <w:szCs w:val="20"/>
        </w:rPr>
        <w:tab/>
      </w:r>
    </w:p>
    <w:p w14:paraId="20E6608F" w14:textId="77777777" w:rsidR="00FF46F3" w:rsidRDefault="00FF46F3" w:rsidP="00A542E9">
      <w:pPr>
        <w:pStyle w:val="ListParagraph"/>
        <w:numPr>
          <w:ilvl w:val="0"/>
          <w:numId w:val="17"/>
        </w:numPr>
        <w:spacing w:before="120"/>
        <w:jc w:val="both"/>
        <w:rPr>
          <w:rFonts w:ascii="Arial" w:hAnsi="Arial" w:cs="Arial"/>
          <w:sz w:val="20"/>
          <w:szCs w:val="20"/>
        </w:rPr>
      </w:pPr>
      <w:r w:rsidRPr="00FF46F3">
        <w:rPr>
          <w:rFonts w:ascii="Arial" w:hAnsi="Arial" w:cs="Arial"/>
          <w:sz w:val="20"/>
          <w:szCs w:val="20"/>
        </w:rPr>
        <w:t>Insert the proportion of severe malaria cases managed at facility level. Multiply the proportion of severe malaria cases managed at facility level by the total number of sever</w:t>
      </w:r>
      <w:r>
        <w:rPr>
          <w:rFonts w:ascii="Arial" w:hAnsi="Arial" w:cs="Arial"/>
          <w:sz w:val="20"/>
          <w:szCs w:val="20"/>
        </w:rPr>
        <w:t>e</w:t>
      </w:r>
      <w:r w:rsidRPr="00FF46F3">
        <w:rPr>
          <w:rFonts w:ascii="Arial" w:hAnsi="Arial" w:cs="Arial"/>
          <w:sz w:val="20"/>
          <w:szCs w:val="20"/>
        </w:rPr>
        <w:t xml:space="preserve"> malaria cases</w:t>
      </w:r>
    </w:p>
    <w:p w14:paraId="7E724E6A" w14:textId="343654C9" w:rsidR="00F85E19" w:rsidRPr="00FF46F3" w:rsidRDefault="00FF46F3" w:rsidP="00A542E9">
      <w:pPr>
        <w:pStyle w:val="ListParagraph"/>
        <w:numPr>
          <w:ilvl w:val="0"/>
          <w:numId w:val="17"/>
        </w:numPr>
        <w:spacing w:before="120"/>
        <w:jc w:val="both"/>
        <w:rPr>
          <w:rFonts w:ascii="Arial" w:hAnsi="Arial" w:cs="Arial"/>
          <w:sz w:val="20"/>
          <w:szCs w:val="20"/>
        </w:rPr>
      </w:pPr>
      <w:r>
        <w:rPr>
          <w:rFonts w:ascii="Arial" w:hAnsi="Arial" w:cs="Arial"/>
          <w:sz w:val="20"/>
          <w:szCs w:val="20"/>
        </w:rPr>
        <w:t>Include what is already financed through domestic and external resources, and allocate the gaps to the GF allocation.</w:t>
      </w:r>
      <w:r w:rsidRPr="00FF46F3">
        <w:rPr>
          <w:rFonts w:ascii="Arial" w:hAnsi="Arial" w:cs="Arial"/>
          <w:sz w:val="20"/>
          <w:szCs w:val="20"/>
        </w:rPr>
        <w:t xml:space="preserve"> </w:t>
      </w:r>
      <w:r w:rsidRPr="00FF46F3">
        <w:rPr>
          <w:rFonts w:ascii="Arial" w:hAnsi="Arial" w:cs="Arial"/>
          <w:sz w:val="20"/>
          <w:szCs w:val="20"/>
        </w:rPr>
        <w:tab/>
      </w:r>
    </w:p>
    <w:p w14:paraId="02374095" w14:textId="77777777" w:rsidR="00F85E19" w:rsidRPr="00F85E19" w:rsidRDefault="00F85E19" w:rsidP="00F85E19">
      <w:pPr>
        <w:pStyle w:val="ListParagraph"/>
        <w:spacing w:before="120"/>
        <w:ind w:left="360"/>
        <w:jc w:val="both"/>
        <w:rPr>
          <w:rFonts w:ascii="Arial" w:hAnsi="Arial" w:cs="Arial"/>
          <w:sz w:val="20"/>
          <w:szCs w:val="20"/>
        </w:rPr>
      </w:pPr>
      <w:r w:rsidRPr="00F85E19">
        <w:rPr>
          <w:rFonts w:ascii="Arial" w:hAnsi="Arial" w:cs="Arial"/>
          <w:sz w:val="20"/>
          <w:szCs w:val="20"/>
        </w:rPr>
        <w:tab/>
      </w:r>
    </w:p>
    <w:p w14:paraId="41BB2C68" w14:textId="0D63A39F" w:rsidR="002618CF" w:rsidRPr="006869FB" w:rsidRDefault="00F85E19" w:rsidP="00F85E19">
      <w:pPr>
        <w:pStyle w:val="ListParagraph"/>
        <w:spacing w:before="120"/>
        <w:ind w:left="360"/>
        <w:jc w:val="both"/>
        <w:rPr>
          <w:rFonts w:ascii="Arial" w:hAnsi="Arial" w:cs="Arial"/>
          <w:sz w:val="20"/>
          <w:szCs w:val="20"/>
        </w:rPr>
      </w:pPr>
      <w:r w:rsidRPr="00F85E19">
        <w:rPr>
          <w:rFonts w:ascii="Arial" w:hAnsi="Arial" w:cs="Arial"/>
          <w:sz w:val="20"/>
          <w:szCs w:val="20"/>
        </w:rPr>
        <w:tab/>
      </w:r>
    </w:p>
    <w:p w14:paraId="11BBEE33" w14:textId="49BEDD66" w:rsidR="0078592C" w:rsidRPr="006869FB" w:rsidRDefault="0078592C" w:rsidP="0020756E">
      <w:pPr>
        <w:pStyle w:val="Heading2"/>
        <w:spacing w:before="120"/>
        <w:rPr>
          <w:rFonts w:ascii="Arial" w:hAnsi="Arial" w:cs="Arial"/>
          <w:sz w:val="20"/>
          <w:szCs w:val="20"/>
        </w:rPr>
      </w:pPr>
      <w:r w:rsidRPr="006869FB">
        <w:rPr>
          <w:rFonts w:ascii="Arial" w:hAnsi="Arial" w:cs="Arial"/>
          <w:sz w:val="20"/>
          <w:szCs w:val="20"/>
        </w:rPr>
        <w:t>Diagnos</w:t>
      </w:r>
      <w:r w:rsidR="00426FB3" w:rsidRPr="006869FB">
        <w:rPr>
          <w:rFonts w:ascii="Arial" w:hAnsi="Arial" w:cs="Arial"/>
          <w:sz w:val="20"/>
          <w:szCs w:val="20"/>
        </w:rPr>
        <w:t>tic testing</w:t>
      </w:r>
      <w:r w:rsidR="00C9728B" w:rsidRPr="006869FB">
        <w:rPr>
          <w:rFonts w:ascii="Arial" w:hAnsi="Arial" w:cs="Arial"/>
          <w:sz w:val="20"/>
          <w:szCs w:val="20"/>
        </w:rPr>
        <w:t xml:space="preserve"> </w:t>
      </w:r>
    </w:p>
    <w:p w14:paraId="58F0AF7D" w14:textId="75C3095A" w:rsidR="00AA354B" w:rsidRPr="006869FB" w:rsidRDefault="00C9728B" w:rsidP="00A6629D">
      <w:pPr>
        <w:pStyle w:val="ListParagraph"/>
        <w:numPr>
          <w:ilvl w:val="0"/>
          <w:numId w:val="7"/>
        </w:numPr>
        <w:spacing w:before="120"/>
        <w:jc w:val="both"/>
        <w:rPr>
          <w:rFonts w:ascii="Arial" w:hAnsi="Arial" w:cs="Arial"/>
          <w:sz w:val="20"/>
          <w:szCs w:val="20"/>
        </w:rPr>
      </w:pPr>
      <w:r w:rsidRPr="006869FB">
        <w:rPr>
          <w:rFonts w:ascii="Arial" w:hAnsi="Arial" w:cs="Arial"/>
          <w:sz w:val="20"/>
          <w:szCs w:val="20"/>
        </w:rPr>
        <w:t>Insert the number of suspected malaria cases annually based on epidemiological estimates</w:t>
      </w:r>
      <w:r w:rsidR="00D63703">
        <w:rPr>
          <w:rFonts w:ascii="Arial" w:hAnsi="Arial" w:cs="Arial"/>
          <w:sz w:val="20"/>
          <w:szCs w:val="20"/>
        </w:rPr>
        <w:t xml:space="preserve"> and consumption data </w:t>
      </w:r>
      <w:r w:rsidRPr="006869FB">
        <w:rPr>
          <w:rFonts w:ascii="Arial" w:hAnsi="Arial" w:cs="Arial"/>
          <w:sz w:val="20"/>
          <w:szCs w:val="20"/>
        </w:rPr>
        <w:t>and extrapolate to account for population increases</w:t>
      </w:r>
      <w:r w:rsidR="00DA37AA" w:rsidRPr="006869FB">
        <w:rPr>
          <w:rFonts w:ascii="Arial" w:hAnsi="Arial" w:cs="Arial"/>
          <w:sz w:val="20"/>
          <w:szCs w:val="20"/>
        </w:rPr>
        <w:t xml:space="preserve">. </w:t>
      </w:r>
      <w:r w:rsidR="008F2B2F" w:rsidRPr="006869FB">
        <w:rPr>
          <w:rFonts w:ascii="Arial" w:hAnsi="Arial" w:cs="Arial"/>
          <w:sz w:val="20"/>
          <w:szCs w:val="20"/>
        </w:rPr>
        <w:t xml:space="preserve">Calculate the </w:t>
      </w:r>
      <w:r w:rsidR="00AA354B" w:rsidRPr="006869FB">
        <w:rPr>
          <w:rFonts w:ascii="Arial" w:hAnsi="Arial" w:cs="Arial"/>
          <w:sz w:val="20"/>
          <w:szCs w:val="20"/>
        </w:rPr>
        <w:t xml:space="preserve">total number of RDTs and microscope slides required annually. </w:t>
      </w:r>
    </w:p>
    <w:p w14:paraId="7D7EA659" w14:textId="66107AE7" w:rsidR="002151E1" w:rsidRPr="006869FB" w:rsidRDefault="002151E1" w:rsidP="00A6629D">
      <w:pPr>
        <w:pStyle w:val="ListParagraph"/>
        <w:numPr>
          <w:ilvl w:val="0"/>
          <w:numId w:val="7"/>
        </w:numPr>
        <w:spacing w:before="120"/>
        <w:jc w:val="both"/>
        <w:rPr>
          <w:rFonts w:ascii="Arial" w:hAnsi="Arial" w:cs="Arial"/>
          <w:sz w:val="20"/>
          <w:szCs w:val="20"/>
        </w:rPr>
      </w:pPr>
      <w:r w:rsidRPr="006869FB">
        <w:rPr>
          <w:rFonts w:ascii="Arial" w:hAnsi="Arial" w:cs="Arial"/>
          <w:sz w:val="20"/>
          <w:szCs w:val="20"/>
        </w:rPr>
        <w:t>Insert the national targets for diagnostic coverage based on the targets in the National Strategic Plan. Be sure to account for different diagnostic coverage by sector for e</w:t>
      </w:r>
      <w:r w:rsidR="001A096A" w:rsidRPr="006869FB">
        <w:rPr>
          <w:rFonts w:ascii="Arial" w:hAnsi="Arial" w:cs="Arial"/>
          <w:sz w:val="20"/>
          <w:szCs w:val="20"/>
        </w:rPr>
        <w:t>x</w:t>
      </w:r>
      <w:r w:rsidRPr="006869FB">
        <w:rPr>
          <w:rFonts w:ascii="Arial" w:hAnsi="Arial" w:cs="Arial"/>
          <w:sz w:val="20"/>
          <w:szCs w:val="20"/>
        </w:rPr>
        <w:t>ample</w:t>
      </w:r>
      <w:r w:rsidR="00472176" w:rsidRPr="006869FB">
        <w:rPr>
          <w:rFonts w:ascii="Arial" w:hAnsi="Arial" w:cs="Arial"/>
          <w:sz w:val="20"/>
          <w:szCs w:val="20"/>
        </w:rPr>
        <w:t xml:space="preserve"> noting the </w:t>
      </w:r>
      <w:r w:rsidR="00A006AA" w:rsidRPr="006869FB">
        <w:rPr>
          <w:rFonts w:ascii="Arial" w:hAnsi="Arial" w:cs="Arial"/>
          <w:sz w:val="20"/>
          <w:szCs w:val="20"/>
        </w:rPr>
        <w:t xml:space="preserve">percentage access to care through public health facilities, at community level and through the private sector. Diagnostic coverage at public, private and community levels will then need to be incorporated. </w:t>
      </w:r>
    </w:p>
    <w:p w14:paraId="23E96266" w14:textId="0FCD8F91" w:rsidR="008F2B2F" w:rsidRPr="006869FB" w:rsidRDefault="008F2B2F" w:rsidP="00A6629D">
      <w:pPr>
        <w:pStyle w:val="ListParagraph"/>
        <w:numPr>
          <w:ilvl w:val="0"/>
          <w:numId w:val="7"/>
        </w:numPr>
        <w:spacing w:before="120"/>
        <w:jc w:val="both"/>
        <w:rPr>
          <w:rFonts w:ascii="Arial" w:hAnsi="Arial" w:cs="Arial"/>
          <w:sz w:val="20"/>
          <w:szCs w:val="20"/>
        </w:rPr>
      </w:pPr>
      <w:r w:rsidRPr="006869FB">
        <w:rPr>
          <w:rFonts w:ascii="Arial" w:hAnsi="Arial" w:cs="Arial"/>
          <w:sz w:val="20"/>
          <w:szCs w:val="20"/>
        </w:rPr>
        <w:t xml:space="preserve">The number of RDTs and microscopy slides required is calculated by factoring in overall need, national targets, and reductions </w:t>
      </w:r>
      <w:proofErr w:type="gramStart"/>
      <w:r w:rsidRPr="006869FB">
        <w:rPr>
          <w:rFonts w:ascii="Arial" w:hAnsi="Arial" w:cs="Arial"/>
          <w:sz w:val="20"/>
          <w:szCs w:val="20"/>
        </w:rPr>
        <w:t>as a result of</w:t>
      </w:r>
      <w:proofErr w:type="gramEnd"/>
      <w:r w:rsidRPr="006869FB">
        <w:rPr>
          <w:rFonts w:ascii="Arial" w:hAnsi="Arial" w:cs="Arial"/>
          <w:sz w:val="20"/>
          <w:szCs w:val="20"/>
        </w:rPr>
        <w:t xml:space="preserve"> vector control, and relative proportion covered by microscopy</w:t>
      </w:r>
      <w:r w:rsidR="00426FB3" w:rsidRPr="006869FB">
        <w:rPr>
          <w:rFonts w:ascii="Arial" w:hAnsi="Arial" w:cs="Arial"/>
          <w:sz w:val="20"/>
          <w:szCs w:val="20"/>
        </w:rPr>
        <w:t xml:space="preserve"> or RDTs</w:t>
      </w:r>
      <w:r w:rsidRPr="006869FB">
        <w:rPr>
          <w:rFonts w:ascii="Arial" w:hAnsi="Arial" w:cs="Arial"/>
          <w:sz w:val="20"/>
          <w:szCs w:val="20"/>
        </w:rPr>
        <w:t>.</w:t>
      </w:r>
    </w:p>
    <w:p w14:paraId="4B70A7FD" w14:textId="0B6E8382" w:rsidR="0004459B" w:rsidRPr="006869FB" w:rsidRDefault="008F2B2F" w:rsidP="00A6629D">
      <w:pPr>
        <w:pStyle w:val="ListParagraph"/>
        <w:numPr>
          <w:ilvl w:val="0"/>
          <w:numId w:val="7"/>
        </w:numPr>
        <w:spacing w:before="120"/>
        <w:jc w:val="both"/>
        <w:rPr>
          <w:rFonts w:ascii="Arial" w:hAnsi="Arial" w:cs="Arial"/>
          <w:sz w:val="20"/>
          <w:szCs w:val="20"/>
        </w:rPr>
      </w:pPr>
      <w:r w:rsidRPr="006869FB">
        <w:rPr>
          <w:rFonts w:ascii="Arial" w:hAnsi="Arial" w:cs="Arial"/>
          <w:sz w:val="20"/>
          <w:szCs w:val="20"/>
        </w:rPr>
        <w:t xml:space="preserve">Calculate </w:t>
      </w:r>
      <w:r w:rsidR="0004459B" w:rsidRPr="006869FB">
        <w:rPr>
          <w:rFonts w:ascii="Arial" w:hAnsi="Arial" w:cs="Arial"/>
          <w:sz w:val="20"/>
          <w:szCs w:val="20"/>
        </w:rPr>
        <w:t xml:space="preserve">the number of </w:t>
      </w:r>
      <w:r w:rsidRPr="006869FB">
        <w:rPr>
          <w:rFonts w:ascii="Arial" w:hAnsi="Arial" w:cs="Arial"/>
          <w:sz w:val="20"/>
          <w:szCs w:val="20"/>
        </w:rPr>
        <w:t xml:space="preserve">RDTs/microscopy slides </w:t>
      </w:r>
      <w:r w:rsidR="0004459B" w:rsidRPr="006869FB">
        <w:rPr>
          <w:rFonts w:ascii="Arial" w:hAnsi="Arial" w:cs="Arial"/>
          <w:sz w:val="20"/>
          <w:szCs w:val="20"/>
        </w:rPr>
        <w:t>already financed or available over the projected period</w:t>
      </w:r>
      <w:r w:rsidR="00AA354B" w:rsidRPr="006869FB">
        <w:rPr>
          <w:rFonts w:ascii="Arial" w:hAnsi="Arial" w:cs="Arial"/>
          <w:sz w:val="20"/>
          <w:szCs w:val="20"/>
        </w:rPr>
        <w:t xml:space="preserve"> by sector</w:t>
      </w:r>
      <w:r w:rsidR="0004459B" w:rsidRPr="006869FB">
        <w:rPr>
          <w:rFonts w:ascii="Arial" w:hAnsi="Arial" w:cs="Arial"/>
          <w:sz w:val="20"/>
          <w:szCs w:val="20"/>
        </w:rPr>
        <w:t xml:space="preserve">.  </w:t>
      </w:r>
      <w:r w:rsidR="0004459B" w:rsidRPr="006869FB">
        <w:rPr>
          <w:rFonts w:ascii="Arial" w:hAnsi="Arial" w:cs="Arial"/>
          <w:sz w:val="20"/>
          <w:szCs w:val="20"/>
        </w:rPr>
        <w:tab/>
      </w:r>
    </w:p>
    <w:p w14:paraId="3BE972F2" w14:textId="39C33EC0" w:rsidR="008F2B2F" w:rsidRDefault="008F2B2F" w:rsidP="00A6629D">
      <w:pPr>
        <w:pStyle w:val="ListParagraph"/>
        <w:numPr>
          <w:ilvl w:val="0"/>
          <w:numId w:val="7"/>
        </w:numPr>
        <w:spacing w:before="120"/>
        <w:jc w:val="both"/>
        <w:rPr>
          <w:rFonts w:ascii="Arial" w:hAnsi="Arial" w:cs="Arial"/>
          <w:sz w:val="20"/>
          <w:szCs w:val="20"/>
        </w:rPr>
      </w:pPr>
      <w:r w:rsidRPr="006869FB">
        <w:rPr>
          <w:rFonts w:ascii="Arial" w:hAnsi="Arial" w:cs="Arial"/>
          <w:sz w:val="20"/>
          <w:szCs w:val="20"/>
        </w:rPr>
        <w:t xml:space="preserve">Subtract the number of RDTs/microscope slides financed from the </w:t>
      </w:r>
      <w:r w:rsidR="00885952" w:rsidRPr="006869FB">
        <w:rPr>
          <w:rFonts w:ascii="Arial" w:hAnsi="Arial" w:cs="Arial"/>
          <w:sz w:val="20"/>
          <w:szCs w:val="20"/>
        </w:rPr>
        <w:t xml:space="preserve">total </w:t>
      </w:r>
      <w:r w:rsidRPr="006869FB">
        <w:rPr>
          <w:rFonts w:ascii="Arial" w:hAnsi="Arial" w:cs="Arial"/>
          <w:sz w:val="20"/>
          <w:szCs w:val="20"/>
        </w:rPr>
        <w:t>number required to calculate the gap</w:t>
      </w:r>
      <w:r w:rsidR="00AA354B" w:rsidRPr="006869FB">
        <w:rPr>
          <w:rFonts w:ascii="Arial" w:hAnsi="Arial" w:cs="Arial"/>
          <w:sz w:val="20"/>
          <w:szCs w:val="20"/>
        </w:rPr>
        <w:t xml:space="preserve"> by sector.</w:t>
      </w:r>
    </w:p>
    <w:p w14:paraId="512C387F" w14:textId="51A25273" w:rsidR="002618CF" w:rsidRPr="002618CF" w:rsidRDefault="002618CF" w:rsidP="002618CF">
      <w:pPr>
        <w:pStyle w:val="Heading2"/>
        <w:spacing w:before="120"/>
        <w:rPr>
          <w:rFonts w:ascii="Arial" w:hAnsi="Arial" w:cs="Arial"/>
          <w:sz w:val="20"/>
          <w:szCs w:val="20"/>
        </w:rPr>
      </w:pPr>
      <w:r w:rsidRPr="002618CF">
        <w:rPr>
          <w:rFonts w:ascii="Arial" w:hAnsi="Arial" w:cs="Arial"/>
          <w:sz w:val="20"/>
          <w:szCs w:val="20"/>
        </w:rPr>
        <w:t xml:space="preserve">Community Health Workers and non-malaria </w:t>
      </w:r>
      <w:proofErr w:type="spellStart"/>
      <w:r w:rsidRPr="002618CF">
        <w:rPr>
          <w:rFonts w:ascii="Arial" w:hAnsi="Arial" w:cs="Arial"/>
          <w:sz w:val="20"/>
          <w:szCs w:val="20"/>
        </w:rPr>
        <w:t>iCCM</w:t>
      </w:r>
      <w:proofErr w:type="spellEnd"/>
      <w:r w:rsidRPr="002618CF">
        <w:rPr>
          <w:rFonts w:ascii="Arial" w:hAnsi="Arial" w:cs="Arial"/>
          <w:sz w:val="20"/>
          <w:szCs w:val="20"/>
        </w:rPr>
        <w:t xml:space="preserve"> commodities</w:t>
      </w:r>
    </w:p>
    <w:p w14:paraId="4BD1DB09" w14:textId="63A02F7A" w:rsidR="002618CF" w:rsidRDefault="002618CF" w:rsidP="002618CF">
      <w:pPr>
        <w:pStyle w:val="pf0"/>
        <w:spacing w:before="0" w:beforeAutospacing="0" w:after="0" w:afterAutospacing="0"/>
        <w:rPr>
          <w:rFonts w:ascii="Arial" w:hAnsi="Arial" w:cs="Arial"/>
          <w:sz w:val="20"/>
          <w:szCs w:val="20"/>
        </w:rPr>
      </w:pPr>
      <w:r>
        <w:rPr>
          <w:rStyle w:val="cf01"/>
        </w:rPr>
        <w:t xml:space="preserve">The GF CHW tables </w:t>
      </w:r>
      <w:proofErr w:type="gramStart"/>
      <w:r>
        <w:rPr>
          <w:rStyle w:val="cf01"/>
        </w:rPr>
        <w:t>are included</w:t>
      </w:r>
      <w:proofErr w:type="gramEnd"/>
      <w:r>
        <w:rPr>
          <w:rStyle w:val="cf01"/>
        </w:rPr>
        <w:t xml:space="preserve"> in the gap analysis document – please refer to the GF RSSH Info Note for instructions. </w:t>
      </w:r>
      <w:hyperlink r:id="rId12" w:history="1">
        <w:r>
          <w:rPr>
            <w:rStyle w:val="cf01"/>
            <w:color w:val="0000FF"/>
            <w:u w:val="single"/>
          </w:rPr>
          <w:t>https://www.theglobalfund.org/media/4759/core_resilientsustainablesystemsforhealth_infonote_en.pdf</w:t>
        </w:r>
      </w:hyperlink>
    </w:p>
    <w:p w14:paraId="30108C1A" w14:textId="77777777" w:rsidR="002618CF" w:rsidRPr="002618CF" w:rsidRDefault="002618CF" w:rsidP="002618CF">
      <w:pPr>
        <w:spacing w:before="120"/>
        <w:jc w:val="both"/>
        <w:rPr>
          <w:rFonts w:ascii="Arial" w:hAnsi="Arial" w:cs="Arial"/>
          <w:sz w:val="20"/>
          <w:szCs w:val="20"/>
        </w:rPr>
      </w:pPr>
    </w:p>
    <w:p w14:paraId="2750BCA5" w14:textId="77777777" w:rsidR="000B1730" w:rsidRPr="006869FB" w:rsidRDefault="000B1730" w:rsidP="0020756E">
      <w:pPr>
        <w:pStyle w:val="Heading2"/>
        <w:spacing w:before="120"/>
        <w:rPr>
          <w:rFonts w:ascii="Arial" w:hAnsi="Arial" w:cs="Arial"/>
          <w:sz w:val="20"/>
          <w:szCs w:val="20"/>
        </w:rPr>
      </w:pPr>
      <w:r w:rsidRPr="006869FB">
        <w:rPr>
          <w:rFonts w:ascii="Arial" w:hAnsi="Arial" w:cs="Arial"/>
          <w:sz w:val="20"/>
          <w:szCs w:val="20"/>
        </w:rPr>
        <w:t>Specific guidance notes for preventive chemotherapy</w:t>
      </w:r>
    </w:p>
    <w:p w14:paraId="5F61CE78" w14:textId="77777777" w:rsidR="000B1730" w:rsidRPr="006869FB" w:rsidRDefault="000B1730" w:rsidP="0020756E">
      <w:pPr>
        <w:pStyle w:val="Heading2"/>
        <w:spacing w:before="120"/>
        <w:rPr>
          <w:rFonts w:ascii="Arial" w:hAnsi="Arial" w:cs="Arial"/>
          <w:sz w:val="20"/>
          <w:szCs w:val="20"/>
        </w:rPr>
      </w:pPr>
      <w:r w:rsidRPr="006869FB">
        <w:rPr>
          <w:rFonts w:ascii="Arial" w:hAnsi="Arial" w:cs="Arial"/>
          <w:sz w:val="20"/>
          <w:szCs w:val="20"/>
        </w:rPr>
        <w:t>S</w:t>
      </w:r>
      <w:r w:rsidR="001A20B5" w:rsidRPr="006869FB">
        <w:rPr>
          <w:rFonts w:ascii="Arial" w:hAnsi="Arial" w:cs="Arial"/>
          <w:sz w:val="20"/>
          <w:szCs w:val="20"/>
        </w:rPr>
        <w:t xml:space="preserve">easonal </w:t>
      </w:r>
      <w:r w:rsidRPr="006869FB">
        <w:rPr>
          <w:rFonts w:ascii="Arial" w:hAnsi="Arial" w:cs="Arial"/>
          <w:sz w:val="20"/>
          <w:szCs w:val="20"/>
        </w:rPr>
        <w:t>M</w:t>
      </w:r>
      <w:r w:rsidR="001A20B5" w:rsidRPr="006869FB">
        <w:rPr>
          <w:rFonts w:ascii="Arial" w:hAnsi="Arial" w:cs="Arial"/>
          <w:sz w:val="20"/>
          <w:szCs w:val="20"/>
        </w:rPr>
        <w:t xml:space="preserve">alaria </w:t>
      </w:r>
      <w:r w:rsidRPr="006869FB">
        <w:rPr>
          <w:rFonts w:ascii="Arial" w:hAnsi="Arial" w:cs="Arial"/>
          <w:sz w:val="20"/>
          <w:szCs w:val="20"/>
        </w:rPr>
        <w:t>C</w:t>
      </w:r>
      <w:r w:rsidR="001A20B5" w:rsidRPr="006869FB">
        <w:rPr>
          <w:rFonts w:ascii="Arial" w:hAnsi="Arial" w:cs="Arial"/>
          <w:sz w:val="20"/>
          <w:szCs w:val="20"/>
        </w:rPr>
        <w:t>hemoprophylaxis</w:t>
      </w:r>
      <w:r w:rsidRPr="006869FB">
        <w:rPr>
          <w:rFonts w:ascii="Arial" w:hAnsi="Arial" w:cs="Arial"/>
          <w:sz w:val="20"/>
          <w:szCs w:val="20"/>
        </w:rPr>
        <w:t xml:space="preserve"> </w:t>
      </w:r>
      <w:r w:rsidR="00171AA9" w:rsidRPr="006869FB">
        <w:rPr>
          <w:rFonts w:ascii="Arial" w:hAnsi="Arial" w:cs="Arial"/>
          <w:sz w:val="20"/>
          <w:szCs w:val="20"/>
        </w:rPr>
        <w:t>(SMC)</w:t>
      </w:r>
    </w:p>
    <w:p w14:paraId="3D123E3E" w14:textId="207DDFBF" w:rsidR="004D7356" w:rsidRDefault="003B5C4E" w:rsidP="003B5C4E">
      <w:pPr>
        <w:pStyle w:val="Default"/>
        <w:spacing w:before="120"/>
        <w:jc w:val="both"/>
        <w:rPr>
          <w:rFonts w:ascii="Arial" w:hAnsi="Arial" w:cs="Arial"/>
          <w:sz w:val="20"/>
          <w:szCs w:val="20"/>
          <w:lang w:val="en-US"/>
        </w:rPr>
      </w:pPr>
      <w:r>
        <w:rPr>
          <w:rFonts w:ascii="Arial" w:hAnsi="Arial" w:cs="Arial"/>
          <w:sz w:val="20"/>
          <w:szCs w:val="20"/>
          <w:lang w:val="en-US"/>
        </w:rPr>
        <w:t>I</w:t>
      </w:r>
      <w:r w:rsidRPr="003B5C4E">
        <w:rPr>
          <w:rFonts w:ascii="Arial" w:hAnsi="Arial" w:cs="Arial"/>
          <w:sz w:val="20"/>
          <w:szCs w:val="20"/>
          <w:lang w:val="en-US"/>
        </w:rPr>
        <w:t xml:space="preserve">n areas of seasonal malaria transmission, children belonging to age groups at high risk of severe malaria should be given antimalarial medicines during peak malaria transmission seasons to reduce disease burden. Eligibility for seasonal malaria chemoprevention (SMC) is defined by the seasonality of malaria transmission and age groups at risk of severe malaria. Thresholds for assessing these criteria change over time and location. Malaria </w:t>
      </w:r>
      <w:proofErr w:type="spellStart"/>
      <w:r w:rsidRPr="003B5C4E">
        <w:rPr>
          <w:rFonts w:ascii="Arial" w:hAnsi="Arial" w:cs="Arial"/>
          <w:sz w:val="20"/>
          <w:szCs w:val="20"/>
          <w:lang w:val="en-US"/>
        </w:rPr>
        <w:t>programmes</w:t>
      </w:r>
      <w:proofErr w:type="spellEnd"/>
      <w:r w:rsidRPr="003B5C4E">
        <w:rPr>
          <w:rFonts w:ascii="Arial" w:hAnsi="Arial" w:cs="Arial"/>
          <w:sz w:val="20"/>
          <w:szCs w:val="20"/>
          <w:lang w:val="en-US"/>
        </w:rPr>
        <w:t xml:space="preserve"> should assess the suitability of SMC based on the local malaria epidemiology and available funding. The added value of a seasonally targeted intervention is likely to be greatest where transmission is intensely seasonal.</w:t>
      </w:r>
      <w:r w:rsidR="00636632">
        <w:rPr>
          <w:rFonts w:ascii="Arial" w:hAnsi="Arial" w:cs="Arial"/>
          <w:sz w:val="20"/>
          <w:szCs w:val="20"/>
          <w:lang w:val="en-US"/>
        </w:rPr>
        <w:t xml:space="preserve"> </w:t>
      </w:r>
      <w:r w:rsidRPr="003B5C4E">
        <w:rPr>
          <w:rFonts w:ascii="Arial" w:hAnsi="Arial" w:cs="Arial"/>
          <w:sz w:val="20"/>
          <w:szCs w:val="20"/>
          <w:lang w:val="en-US"/>
        </w:rPr>
        <w:t xml:space="preserve">Monthly cycles of </w:t>
      </w:r>
      <w:proofErr w:type="spellStart"/>
      <w:r w:rsidRPr="003B5C4E">
        <w:rPr>
          <w:rFonts w:ascii="Arial" w:hAnsi="Arial" w:cs="Arial"/>
          <w:sz w:val="20"/>
          <w:szCs w:val="20"/>
          <w:lang w:val="en-US"/>
        </w:rPr>
        <w:t>sulfadoxine</w:t>
      </w:r>
      <w:proofErr w:type="spellEnd"/>
      <w:r w:rsidRPr="003B5C4E">
        <w:rPr>
          <w:rFonts w:ascii="Arial" w:hAnsi="Arial" w:cs="Arial"/>
          <w:sz w:val="20"/>
          <w:szCs w:val="20"/>
          <w:lang w:val="en-US"/>
        </w:rPr>
        <w:t>-pyrimethamine plus amodiaquine (SP+AQ) have been widely used for SMC in African children under 5 years old and have been shown to be efficacious, safe, well tolerated, available and inexpensive</w:t>
      </w:r>
    </w:p>
    <w:p w14:paraId="024FDAA0" w14:textId="6DC82751" w:rsidR="00C14EF5" w:rsidRPr="00FA1EA8" w:rsidRDefault="00C14EF5" w:rsidP="00FA1EA8">
      <w:pPr>
        <w:pStyle w:val="Default"/>
        <w:spacing w:before="120"/>
        <w:jc w:val="both"/>
        <w:rPr>
          <w:rFonts w:ascii="Arial" w:hAnsi="Arial" w:cs="Arial"/>
          <w:sz w:val="20"/>
          <w:szCs w:val="20"/>
          <w:lang w:val="en-US"/>
        </w:rPr>
      </w:pPr>
      <w:r w:rsidRPr="00FA1EA8">
        <w:rPr>
          <w:rFonts w:ascii="Arial" w:hAnsi="Arial" w:cs="Arial"/>
          <w:b/>
          <w:bCs/>
          <w:sz w:val="20"/>
          <w:szCs w:val="20"/>
          <w:lang w:val="en-US"/>
        </w:rPr>
        <w:lastRenderedPageBreak/>
        <w:t>Age group</w:t>
      </w:r>
      <w:r w:rsidR="00B830EF">
        <w:rPr>
          <w:rFonts w:ascii="Arial" w:hAnsi="Arial" w:cs="Arial"/>
          <w:b/>
          <w:bCs/>
          <w:sz w:val="20"/>
          <w:szCs w:val="20"/>
          <w:lang w:val="en-US"/>
        </w:rPr>
        <w:t xml:space="preserve">: </w:t>
      </w:r>
      <w:r w:rsidRPr="00FA1EA8">
        <w:rPr>
          <w:rFonts w:ascii="Arial" w:hAnsi="Arial" w:cs="Arial"/>
          <w:sz w:val="20"/>
          <w:szCs w:val="20"/>
          <w:lang w:val="en-US"/>
        </w:rPr>
        <w:t xml:space="preserve">Most research studies have evaluated SMC in children aged 3–59 months. SMC has also been shown to reduce the incidence of clinical malaria in children &lt;10 years old. The age group targeted for SMC should be informed by the local age pattern of severe malaria admissions. The cost-effectiveness of SMC will become less </w:t>
      </w:r>
      <w:proofErr w:type="spellStart"/>
      <w:r w:rsidRPr="00FA1EA8">
        <w:rPr>
          <w:rFonts w:ascii="Arial" w:hAnsi="Arial" w:cs="Arial"/>
          <w:sz w:val="20"/>
          <w:szCs w:val="20"/>
          <w:lang w:val="en-US"/>
        </w:rPr>
        <w:t>favourable</w:t>
      </w:r>
      <w:proofErr w:type="spellEnd"/>
      <w:r w:rsidRPr="00FA1EA8">
        <w:rPr>
          <w:rFonts w:ascii="Arial" w:hAnsi="Arial" w:cs="Arial"/>
          <w:sz w:val="20"/>
          <w:szCs w:val="20"/>
          <w:lang w:val="en-US"/>
        </w:rPr>
        <w:t xml:space="preserve"> as </w:t>
      </w:r>
      <w:proofErr w:type="spellStart"/>
      <w:r w:rsidRPr="00FA1EA8">
        <w:rPr>
          <w:rFonts w:ascii="Arial" w:hAnsi="Arial" w:cs="Arial"/>
          <w:sz w:val="20"/>
          <w:szCs w:val="20"/>
          <w:lang w:val="en-US"/>
        </w:rPr>
        <w:t>programmes</w:t>
      </w:r>
      <w:proofErr w:type="spellEnd"/>
      <w:r w:rsidRPr="00FA1EA8">
        <w:rPr>
          <w:rFonts w:ascii="Arial" w:hAnsi="Arial" w:cs="Arial"/>
          <w:sz w:val="20"/>
          <w:szCs w:val="20"/>
          <w:lang w:val="en-US"/>
        </w:rPr>
        <w:t xml:space="preserve"> expand to age groups at lower risk of severe disease and areas of lower malaria transmission. </w:t>
      </w:r>
    </w:p>
    <w:p w14:paraId="4C82D76F" w14:textId="6924331B" w:rsidR="00C14EF5" w:rsidRPr="00FA1EA8" w:rsidRDefault="00C14EF5" w:rsidP="00FA1EA8">
      <w:pPr>
        <w:pStyle w:val="Default"/>
        <w:spacing w:before="120"/>
        <w:jc w:val="both"/>
        <w:rPr>
          <w:rFonts w:ascii="Arial" w:hAnsi="Arial" w:cs="Arial"/>
          <w:sz w:val="20"/>
          <w:szCs w:val="20"/>
          <w:lang w:val="en-US"/>
        </w:rPr>
      </w:pPr>
      <w:r w:rsidRPr="00FA1EA8">
        <w:rPr>
          <w:rFonts w:ascii="Arial" w:hAnsi="Arial" w:cs="Arial"/>
          <w:b/>
          <w:bCs/>
          <w:sz w:val="20"/>
          <w:szCs w:val="20"/>
          <w:lang w:val="en-US"/>
        </w:rPr>
        <w:t>Dosage</w:t>
      </w:r>
      <w:r w:rsidR="00014122">
        <w:rPr>
          <w:rFonts w:ascii="Arial" w:hAnsi="Arial" w:cs="Arial"/>
          <w:b/>
          <w:bCs/>
          <w:sz w:val="20"/>
          <w:szCs w:val="20"/>
          <w:lang w:val="en-US"/>
        </w:rPr>
        <w:t xml:space="preserve">: </w:t>
      </w:r>
      <w:r w:rsidRPr="00FA1EA8">
        <w:rPr>
          <w:rFonts w:ascii="Arial" w:hAnsi="Arial" w:cs="Arial"/>
          <w:sz w:val="20"/>
          <w:szCs w:val="20"/>
          <w:lang w:val="en-US"/>
        </w:rPr>
        <w:t>Children in age groups at increased risk of severe disease should be given a complete course of antimalarials, at their recommended treatment dose, as SMC. The drug dosage should be determined by the child’s weight wherever possible, with dosing according to age only in situations where the child’s weight is unknown. </w:t>
      </w:r>
    </w:p>
    <w:p w14:paraId="528F96B7" w14:textId="394D36AD" w:rsidR="00C14EF5" w:rsidRPr="00FA1EA8" w:rsidRDefault="00C14EF5" w:rsidP="00FA1EA8">
      <w:pPr>
        <w:pStyle w:val="Default"/>
        <w:spacing w:before="120"/>
        <w:jc w:val="both"/>
        <w:rPr>
          <w:rFonts w:ascii="Arial" w:hAnsi="Arial" w:cs="Arial"/>
          <w:sz w:val="20"/>
          <w:szCs w:val="20"/>
          <w:lang w:val="en-US"/>
        </w:rPr>
      </w:pPr>
      <w:r w:rsidRPr="00FA1EA8">
        <w:rPr>
          <w:rFonts w:ascii="Arial" w:hAnsi="Arial" w:cs="Arial"/>
          <w:b/>
          <w:bCs/>
          <w:sz w:val="20"/>
          <w:szCs w:val="20"/>
          <w:lang w:val="en-US"/>
        </w:rPr>
        <w:t>Frequency</w:t>
      </w:r>
      <w:r w:rsidR="00014122">
        <w:rPr>
          <w:rFonts w:ascii="Arial" w:hAnsi="Arial" w:cs="Arial"/>
          <w:b/>
          <w:bCs/>
          <w:sz w:val="20"/>
          <w:szCs w:val="20"/>
          <w:lang w:val="en-US"/>
        </w:rPr>
        <w:t xml:space="preserve">: </w:t>
      </w:r>
      <w:r w:rsidRPr="00FA1EA8">
        <w:rPr>
          <w:rFonts w:ascii="Arial" w:hAnsi="Arial" w:cs="Arial"/>
          <w:sz w:val="20"/>
          <w:szCs w:val="20"/>
          <w:lang w:val="en-US"/>
        </w:rPr>
        <w:t xml:space="preserve">The number of cycles should be informed by the duration of the high-transmission season, based on the local malaria epidemiology, and the length of preventive efficacy of the selected drug combination. SMC should be used to protect children during the entire high-transmission season. Current evidence supports monthly administration of SMC for 3–4 cycles in shorter transmission settings, and up to six cycles have been evaluated in settings with longer transmission seasons </w:t>
      </w:r>
    </w:p>
    <w:p w14:paraId="6995CFB5" w14:textId="1432D75E" w:rsidR="00C14EF5" w:rsidRPr="00FA1EA8" w:rsidRDefault="00C14EF5" w:rsidP="00FA1EA8">
      <w:pPr>
        <w:pStyle w:val="Default"/>
        <w:spacing w:before="120"/>
        <w:jc w:val="both"/>
        <w:rPr>
          <w:rFonts w:ascii="Arial" w:hAnsi="Arial" w:cs="Arial"/>
          <w:sz w:val="20"/>
          <w:szCs w:val="20"/>
          <w:lang w:val="en-US"/>
        </w:rPr>
      </w:pPr>
      <w:r w:rsidRPr="00FA1EA8">
        <w:rPr>
          <w:rFonts w:ascii="Arial" w:hAnsi="Arial" w:cs="Arial"/>
          <w:b/>
          <w:bCs/>
          <w:sz w:val="20"/>
          <w:szCs w:val="20"/>
          <w:lang w:val="en-US"/>
        </w:rPr>
        <w:t>Delivery</w:t>
      </w:r>
      <w:r w:rsidR="00300E73">
        <w:rPr>
          <w:rFonts w:ascii="Arial" w:hAnsi="Arial" w:cs="Arial"/>
          <w:b/>
          <w:bCs/>
          <w:sz w:val="20"/>
          <w:szCs w:val="20"/>
          <w:lang w:val="en-US"/>
        </w:rPr>
        <w:t xml:space="preserve">: </w:t>
      </w:r>
      <w:r w:rsidRPr="00FA1EA8">
        <w:rPr>
          <w:rFonts w:ascii="Arial" w:hAnsi="Arial" w:cs="Arial"/>
          <w:sz w:val="20"/>
          <w:szCs w:val="20"/>
          <w:lang w:val="en-US"/>
        </w:rPr>
        <w:t xml:space="preserve">SMC can be provided through door-to-door or fixed-point delivery. </w:t>
      </w:r>
    </w:p>
    <w:p w14:paraId="151CAAE9" w14:textId="77777777" w:rsidR="00EB33BD" w:rsidRDefault="009E2AC9" w:rsidP="0020756E">
      <w:pPr>
        <w:spacing w:before="120"/>
        <w:jc w:val="both"/>
        <w:rPr>
          <w:rFonts w:ascii="Arial" w:hAnsi="Arial" w:cs="Arial"/>
          <w:sz w:val="20"/>
          <w:szCs w:val="20"/>
        </w:rPr>
      </w:pPr>
      <w:r w:rsidRPr="006869FB">
        <w:rPr>
          <w:rFonts w:ascii="Arial" w:hAnsi="Arial" w:cs="Arial"/>
          <w:sz w:val="20"/>
          <w:szCs w:val="20"/>
        </w:rPr>
        <w:t xml:space="preserve">Good quantification of supplies is a key determinant of successful implementation of SMC. Estimating the quantity of drugs requires a close approximation of the number of children </w:t>
      </w:r>
      <w:r w:rsidR="00571EAF" w:rsidRPr="006869FB">
        <w:rPr>
          <w:rFonts w:ascii="Arial" w:hAnsi="Arial" w:cs="Arial"/>
          <w:sz w:val="20"/>
          <w:szCs w:val="20"/>
        </w:rPr>
        <w:t>targeted</w:t>
      </w:r>
      <w:r w:rsidRPr="006869FB">
        <w:rPr>
          <w:rFonts w:ascii="Arial" w:hAnsi="Arial" w:cs="Arial"/>
          <w:sz w:val="20"/>
          <w:szCs w:val="20"/>
        </w:rPr>
        <w:t xml:space="preserve"> If such estimates are not available but the fraction of children in this age group in the population is known, the quantity of SMC drug</w:t>
      </w:r>
      <w:r w:rsidR="00B14C6D" w:rsidRPr="006869FB">
        <w:rPr>
          <w:rFonts w:ascii="Arial" w:hAnsi="Arial" w:cs="Arial"/>
          <w:sz w:val="20"/>
          <w:szCs w:val="20"/>
        </w:rPr>
        <w:t>s</w:t>
      </w:r>
      <w:r w:rsidRPr="006869FB">
        <w:rPr>
          <w:rFonts w:ascii="Arial" w:hAnsi="Arial" w:cs="Arial"/>
          <w:sz w:val="20"/>
          <w:szCs w:val="20"/>
        </w:rPr>
        <w:t xml:space="preserve"> can be estimated. Population data can be obtained from the most recent national census or demographic and health survey or the national bureau of statistics. </w:t>
      </w:r>
    </w:p>
    <w:p w14:paraId="0569D52D" w14:textId="350DBB1C" w:rsidR="00525916" w:rsidRPr="006869FB" w:rsidRDefault="005048E7" w:rsidP="0020756E">
      <w:pPr>
        <w:spacing w:before="120"/>
        <w:jc w:val="both"/>
        <w:rPr>
          <w:rFonts w:ascii="Arial" w:hAnsi="Arial" w:cs="Arial"/>
          <w:sz w:val="20"/>
          <w:szCs w:val="20"/>
        </w:rPr>
      </w:pPr>
      <w:r w:rsidRPr="006869FB">
        <w:rPr>
          <w:rFonts w:ascii="Arial" w:hAnsi="Arial" w:cs="Arial"/>
          <w:sz w:val="20"/>
          <w:szCs w:val="20"/>
        </w:rPr>
        <w:t>The number of tablets is the product of the expected number of children in the targeted area(s) and the number of doses given during the transmission season.</w:t>
      </w:r>
    </w:p>
    <w:p w14:paraId="1A2DDBA3" w14:textId="790EFA06" w:rsidR="0010254E" w:rsidRPr="006869FB" w:rsidRDefault="00752778" w:rsidP="0020756E">
      <w:pPr>
        <w:spacing w:before="120"/>
        <w:jc w:val="both"/>
        <w:rPr>
          <w:rFonts w:ascii="Arial" w:hAnsi="Arial" w:cs="Arial"/>
          <w:sz w:val="20"/>
          <w:szCs w:val="20"/>
        </w:rPr>
      </w:pPr>
      <w:r>
        <w:rPr>
          <w:rFonts w:ascii="Arial" w:hAnsi="Arial" w:cs="Arial"/>
          <w:sz w:val="20"/>
          <w:szCs w:val="20"/>
        </w:rPr>
        <w:t>For the gap analysis, h</w:t>
      </w:r>
      <w:r w:rsidR="0010254E" w:rsidRPr="006869FB">
        <w:rPr>
          <w:rFonts w:ascii="Arial" w:hAnsi="Arial" w:cs="Arial"/>
          <w:sz w:val="20"/>
          <w:szCs w:val="20"/>
        </w:rPr>
        <w:t xml:space="preserve">ighlight the number of children to be reached </w:t>
      </w:r>
      <w:r>
        <w:rPr>
          <w:rFonts w:ascii="Arial" w:hAnsi="Arial" w:cs="Arial"/>
          <w:sz w:val="20"/>
          <w:szCs w:val="20"/>
        </w:rPr>
        <w:t>(noting the targeted age groups)</w:t>
      </w:r>
      <w:r w:rsidR="005A71FE">
        <w:rPr>
          <w:rFonts w:ascii="Arial" w:hAnsi="Arial" w:cs="Arial"/>
          <w:sz w:val="20"/>
          <w:szCs w:val="20"/>
        </w:rPr>
        <w:t xml:space="preserve">, the number of </w:t>
      </w:r>
      <w:r w:rsidR="006E5B52">
        <w:rPr>
          <w:rFonts w:ascii="Arial" w:hAnsi="Arial" w:cs="Arial"/>
          <w:sz w:val="20"/>
          <w:szCs w:val="20"/>
        </w:rPr>
        <w:t xml:space="preserve">SMC cycles, and then the </w:t>
      </w:r>
      <w:r w:rsidR="0010254E" w:rsidRPr="006869FB">
        <w:rPr>
          <w:rFonts w:ascii="Arial" w:hAnsi="Arial" w:cs="Arial"/>
          <w:sz w:val="20"/>
          <w:szCs w:val="20"/>
        </w:rPr>
        <w:t xml:space="preserve">number financed </w:t>
      </w:r>
      <w:r w:rsidR="00C23A3A">
        <w:rPr>
          <w:rFonts w:ascii="Arial" w:hAnsi="Arial" w:cs="Arial"/>
          <w:sz w:val="20"/>
          <w:szCs w:val="20"/>
        </w:rPr>
        <w:t xml:space="preserve">(through domestic and external resources), the need to be met through the GF allocations and any </w:t>
      </w:r>
      <w:r w:rsidR="0010254E" w:rsidRPr="006869FB">
        <w:rPr>
          <w:rFonts w:ascii="Arial" w:hAnsi="Arial" w:cs="Arial"/>
          <w:sz w:val="20"/>
          <w:szCs w:val="20"/>
        </w:rPr>
        <w:t>outstanding gaps.</w:t>
      </w:r>
      <w:r w:rsidR="00C23A3A">
        <w:rPr>
          <w:rFonts w:ascii="Arial" w:hAnsi="Arial" w:cs="Arial"/>
          <w:sz w:val="20"/>
          <w:szCs w:val="20"/>
        </w:rPr>
        <w:t xml:space="preserve"> Consider covering any outstanding gaps through the Global Fund </w:t>
      </w:r>
      <w:proofErr w:type="spellStart"/>
      <w:r w:rsidR="00C23A3A">
        <w:rPr>
          <w:rFonts w:ascii="Arial" w:hAnsi="Arial" w:cs="Arial"/>
          <w:sz w:val="20"/>
          <w:szCs w:val="20"/>
        </w:rPr>
        <w:t>Prioritised</w:t>
      </w:r>
      <w:proofErr w:type="spellEnd"/>
      <w:r w:rsidR="00C23A3A">
        <w:rPr>
          <w:rFonts w:ascii="Arial" w:hAnsi="Arial" w:cs="Arial"/>
          <w:sz w:val="20"/>
          <w:szCs w:val="20"/>
        </w:rPr>
        <w:t xml:space="preserve"> Above Allocation </w:t>
      </w:r>
      <w:r w:rsidR="00873E03">
        <w:rPr>
          <w:rFonts w:ascii="Arial" w:hAnsi="Arial" w:cs="Arial"/>
          <w:sz w:val="20"/>
          <w:szCs w:val="20"/>
        </w:rPr>
        <w:t>Request.</w:t>
      </w:r>
      <w:r w:rsidR="0010254E" w:rsidRPr="006869FB">
        <w:rPr>
          <w:rFonts w:ascii="Arial" w:hAnsi="Arial" w:cs="Arial"/>
          <w:sz w:val="20"/>
          <w:szCs w:val="20"/>
        </w:rPr>
        <w:t xml:space="preserve"> </w:t>
      </w:r>
    </w:p>
    <w:p w14:paraId="35460221" w14:textId="59CC87D9" w:rsidR="00FF75C7" w:rsidRDefault="00FF75C7" w:rsidP="0020756E">
      <w:pPr>
        <w:pStyle w:val="Heading2"/>
        <w:spacing w:before="120"/>
        <w:rPr>
          <w:rFonts w:ascii="Arial" w:hAnsi="Arial" w:cs="Arial"/>
          <w:sz w:val="20"/>
          <w:szCs w:val="20"/>
        </w:rPr>
      </w:pPr>
      <w:r>
        <w:rPr>
          <w:rFonts w:ascii="Arial" w:hAnsi="Arial" w:cs="Arial"/>
          <w:sz w:val="20"/>
          <w:szCs w:val="20"/>
        </w:rPr>
        <w:t>IPTp</w:t>
      </w:r>
    </w:p>
    <w:p w14:paraId="7A76B827" w14:textId="4301FB27" w:rsidR="00FF75C7" w:rsidRPr="003E0DC7" w:rsidRDefault="00FF75C7" w:rsidP="00DA3CA5">
      <w:pPr>
        <w:pStyle w:val="NormalWeb"/>
        <w:shd w:val="clear" w:color="auto" w:fill="FFFFFF"/>
        <w:spacing w:before="0" w:beforeAutospacing="0" w:after="120" w:afterAutospacing="0"/>
        <w:jc w:val="both"/>
        <w:rPr>
          <w:rFonts w:ascii="Arial" w:hAnsi="Arial" w:cs="Arial"/>
          <w:sz w:val="20"/>
          <w:szCs w:val="20"/>
        </w:rPr>
      </w:pPr>
      <w:r w:rsidRPr="003E0DC7">
        <w:rPr>
          <w:rFonts w:ascii="Arial" w:hAnsi="Arial" w:cs="Arial"/>
          <w:sz w:val="20"/>
          <w:szCs w:val="20"/>
          <w:lang w:val="en-US" w:eastAsia="en-US"/>
        </w:rPr>
        <w:t>In malaria-endemic areas, pregnant women of all gravidities should be given antimalarial medicine at predetermined intervals to reduce disease burden in pregnancy and adverse pregnancy and birth outcomes. </w:t>
      </w:r>
      <w:r w:rsidR="00223609">
        <w:rPr>
          <w:rFonts w:ascii="Arial" w:hAnsi="Arial" w:cs="Arial"/>
          <w:sz w:val="20"/>
          <w:szCs w:val="20"/>
          <w:lang w:val="en-US" w:eastAsia="en-US"/>
        </w:rPr>
        <w:t xml:space="preserve"> </w:t>
      </w:r>
      <w:proofErr w:type="spellStart"/>
      <w:r w:rsidRPr="003E0DC7">
        <w:rPr>
          <w:rFonts w:ascii="Arial" w:hAnsi="Arial" w:cs="Arial"/>
          <w:sz w:val="20"/>
          <w:szCs w:val="20"/>
        </w:rPr>
        <w:t>Sulfadoxine</w:t>
      </w:r>
      <w:proofErr w:type="spellEnd"/>
      <w:r w:rsidRPr="003E0DC7">
        <w:rPr>
          <w:rFonts w:ascii="Arial" w:hAnsi="Arial" w:cs="Arial"/>
          <w:sz w:val="20"/>
          <w:szCs w:val="20"/>
        </w:rPr>
        <w:t xml:space="preserve">-pyrimethamine (SP) has </w:t>
      </w:r>
      <w:proofErr w:type="gramStart"/>
      <w:r w:rsidRPr="003E0DC7">
        <w:rPr>
          <w:rFonts w:ascii="Arial" w:hAnsi="Arial" w:cs="Arial"/>
          <w:sz w:val="20"/>
          <w:szCs w:val="20"/>
        </w:rPr>
        <w:t>been widely used</w:t>
      </w:r>
      <w:proofErr w:type="gramEnd"/>
      <w:r w:rsidRPr="003E0DC7">
        <w:rPr>
          <w:rFonts w:ascii="Arial" w:hAnsi="Arial" w:cs="Arial"/>
          <w:sz w:val="20"/>
          <w:szCs w:val="20"/>
        </w:rPr>
        <w:t xml:space="preserve"> for malaria chemoprevention during pregnancy and remains effective in improving key pregnancy outcomes.</w:t>
      </w:r>
      <w:r w:rsidR="00F146C9">
        <w:rPr>
          <w:rFonts w:ascii="Arial" w:hAnsi="Arial" w:cs="Arial"/>
          <w:sz w:val="20"/>
          <w:szCs w:val="20"/>
        </w:rPr>
        <w:t xml:space="preserve"> </w:t>
      </w:r>
      <w:r w:rsidRPr="003E0DC7">
        <w:rPr>
          <w:rFonts w:ascii="Arial" w:hAnsi="Arial" w:cs="Arial"/>
          <w:sz w:val="20"/>
          <w:szCs w:val="20"/>
        </w:rPr>
        <w:t xml:space="preserve">IPTp-SP should start as early as possible in the second trimester and not before week </w:t>
      </w:r>
      <w:proofErr w:type="gramStart"/>
      <w:r w:rsidRPr="003E0DC7">
        <w:rPr>
          <w:rFonts w:ascii="Arial" w:hAnsi="Arial" w:cs="Arial"/>
          <w:sz w:val="20"/>
          <w:szCs w:val="20"/>
        </w:rPr>
        <w:t>13</w:t>
      </w:r>
      <w:proofErr w:type="gramEnd"/>
      <w:r w:rsidRPr="003E0DC7">
        <w:rPr>
          <w:rFonts w:ascii="Arial" w:hAnsi="Arial" w:cs="Arial"/>
          <w:sz w:val="20"/>
          <w:szCs w:val="20"/>
        </w:rPr>
        <w:t xml:space="preserve"> of pregnancy.</w:t>
      </w:r>
      <w:r w:rsidR="00F146C9">
        <w:rPr>
          <w:rFonts w:ascii="Arial" w:hAnsi="Arial" w:cs="Arial"/>
          <w:sz w:val="20"/>
          <w:szCs w:val="20"/>
        </w:rPr>
        <w:t xml:space="preserve"> </w:t>
      </w:r>
      <w:r w:rsidRPr="003E0DC7">
        <w:rPr>
          <w:rFonts w:ascii="Arial" w:hAnsi="Arial" w:cs="Arial"/>
          <w:sz w:val="20"/>
          <w:szCs w:val="20"/>
        </w:rPr>
        <w:t xml:space="preserve">Doses should </w:t>
      </w:r>
      <w:proofErr w:type="gramStart"/>
      <w:r w:rsidRPr="003E0DC7">
        <w:rPr>
          <w:rFonts w:ascii="Arial" w:hAnsi="Arial" w:cs="Arial"/>
          <w:sz w:val="20"/>
          <w:szCs w:val="20"/>
        </w:rPr>
        <w:t>be given</w:t>
      </w:r>
      <w:proofErr w:type="gramEnd"/>
      <w:r w:rsidRPr="003E0DC7">
        <w:rPr>
          <w:rFonts w:ascii="Arial" w:hAnsi="Arial" w:cs="Arial"/>
          <w:sz w:val="20"/>
          <w:szCs w:val="20"/>
        </w:rPr>
        <w:t xml:space="preserve"> at least one month apart, with the objective of ensuring that at least three doses are received.</w:t>
      </w:r>
      <w:r w:rsidR="00F146C9">
        <w:rPr>
          <w:rFonts w:ascii="Arial" w:hAnsi="Arial" w:cs="Arial"/>
          <w:sz w:val="20"/>
          <w:szCs w:val="20"/>
        </w:rPr>
        <w:t xml:space="preserve"> </w:t>
      </w:r>
      <w:r w:rsidRPr="003E0DC7">
        <w:rPr>
          <w:rFonts w:ascii="Arial" w:hAnsi="Arial" w:cs="Arial"/>
          <w:sz w:val="20"/>
          <w:szCs w:val="20"/>
        </w:rPr>
        <w:t xml:space="preserve">Antenatal care (ANC) contacts remain an important platform for delivering IPTp. Where inequities in ANC service and reach exist, other delivery methods (such as the use of community health workers) may </w:t>
      </w:r>
      <w:proofErr w:type="gramStart"/>
      <w:r w:rsidRPr="003E0DC7">
        <w:rPr>
          <w:rFonts w:ascii="Arial" w:hAnsi="Arial" w:cs="Arial"/>
          <w:sz w:val="20"/>
          <w:szCs w:val="20"/>
        </w:rPr>
        <w:t>be explored</w:t>
      </w:r>
      <w:proofErr w:type="gramEnd"/>
      <w:r w:rsidRPr="003E0DC7">
        <w:rPr>
          <w:rFonts w:ascii="Arial" w:hAnsi="Arial" w:cs="Arial"/>
          <w:sz w:val="20"/>
          <w:szCs w:val="20"/>
        </w:rPr>
        <w:t>, ensuring that ANC attendance is maintained and underlying inequities in ANC delivery are addressed.</w:t>
      </w:r>
    </w:p>
    <w:p w14:paraId="1723A266" w14:textId="495102FE" w:rsidR="00FF75C7" w:rsidRPr="00476874" w:rsidRDefault="00FF75C7" w:rsidP="00D50FF8">
      <w:pPr>
        <w:shd w:val="clear" w:color="auto" w:fill="FFFFFF"/>
        <w:jc w:val="both"/>
        <w:rPr>
          <w:rFonts w:ascii="Arial" w:hAnsi="Arial" w:cs="Arial"/>
          <w:sz w:val="20"/>
          <w:szCs w:val="20"/>
          <w:lang w:val="en-GB" w:eastAsia="en-GB"/>
        </w:rPr>
      </w:pPr>
      <w:r w:rsidRPr="00476874">
        <w:rPr>
          <w:rFonts w:ascii="Arial" w:hAnsi="Arial" w:cs="Arial"/>
          <w:sz w:val="20"/>
          <w:szCs w:val="20"/>
          <w:lang w:val="en-GB" w:eastAsia="en-GB"/>
        </w:rPr>
        <w:t xml:space="preserve">For the </w:t>
      </w:r>
      <w:r w:rsidR="00F146C9" w:rsidRPr="00476874">
        <w:rPr>
          <w:rFonts w:ascii="Arial" w:hAnsi="Arial" w:cs="Arial"/>
          <w:sz w:val="20"/>
          <w:szCs w:val="20"/>
          <w:lang w:val="en-GB" w:eastAsia="en-GB"/>
        </w:rPr>
        <w:t xml:space="preserve">IPTp </w:t>
      </w:r>
      <w:r w:rsidRPr="00476874">
        <w:rPr>
          <w:rFonts w:ascii="Arial" w:hAnsi="Arial" w:cs="Arial"/>
          <w:sz w:val="20"/>
          <w:szCs w:val="20"/>
          <w:lang w:val="en-GB" w:eastAsia="en-GB"/>
        </w:rPr>
        <w:t xml:space="preserve">gap analysis, highlight the number of </w:t>
      </w:r>
      <w:r w:rsidR="00F146C9" w:rsidRPr="00476874">
        <w:rPr>
          <w:rFonts w:ascii="Arial" w:hAnsi="Arial" w:cs="Arial"/>
          <w:sz w:val="20"/>
          <w:szCs w:val="20"/>
          <w:lang w:val="en-GB" w:eastAsia="en-GB"/>
        </w:rPr>
        <w:t xml:space="preserve">pregnant women </w:t>
      </w:r>
      <w:r w:rsidRPr="00476874">
        <w:rPr>
          <w:rFonts w:ascii="Arial" w:hAnsi="Arial" w:cs="Arial"/>
          <w:sz w:val="20"/>
          <w:szCs w:val="20"/>
          <w:lang w:val="en-GB" w:eastAsia="en-GB"/>
        </w:rPr>
        <w:t xml:space="preserve">to </w:t>
      </w:r>
      <w:proofErr w:type="gramStart"/>
      <w:r w:rsidRPr="00476874">
        <w:rPr>
          <w:rFonts w:ascii="Arial" w:hAnsi="Arial" w:cs="Arial"/>
          <w:sz w:val="20"/>
          <w:szCs w:val="20"/>
          <w:lang w:val="en-GB" w:eastAsia="en-GB"/>
        </w:rPr>
        <w:t>be reached</w:t>
      </w:r>
      <w:proofErr w:type="gramEnd"/>
      <w:r w:rsidRPr="00476874">
        <w:rPr>
          <w:rFonts w:ascii="Arial" w:hAnsi="Arial" w:cs="Arial"/>
          <w:sz w:val="20"/>
          <w:szCs w:val="20"/>
          <w:lang w:val="en-GB" w:eastAsia="en-GB"/>
        </w:rPr>
        <w:t xml:space="preserve"> (</w:t>
      </w:r>
      <w:r w:rsidR="00F146C9" w:rsidRPr="00476874">
        <w:rPr>
          <w:rFonts w:ascii="Arial" w:hAnsi="Arial" w:cs="Arial"/>
          <w:sz w:val="20"/>
          <w:szCs w:val="20"/>
          <w:lang w:val="en-GB" w:eastAsia="en-GB"/>
        </w:rPr>
        <w:t>through ANC, and where applicable</w:t>
      </w:r>
      <w:r w:rsidR="00D50FF8">
        <w:rPr>
          <w:rFonts w:ascii="Arial" w:hAnsi="Arial" w:cs="Arial"/>
          <w:sz w:val="20"/>
          <w:szCs w:val="20"/>
          <w:lang w:val="en-GB" w:eastAsia="en-GB"/>
        </w:rPr>
        <w:t>,</w:t>
      </w:r>
      <w:r w:rsidR="00F146C9" w:rsidRPr="00476874">
        <w:rPr>
          <w:rFonts w:ascii="Arial" w:hAnsi="Arial" w:cs="Arial"/>
          <w:sz w:val="20"/>
          <w:szCs w:val="20"/>
          <w:lang w:val="en-GB" w:eastAsia="en-GB"/>
        </w:rPr>
        <w:t xml:space="preserve"> through </w:t>
      </w:r>
      <w:r w:rsidR="00AF1C88" w:rsidRPr="00476874">
        <w:rPr>
          <w:rFonts w:ascii="Arial" w:hAnsi="Arial" w:cs="Arial"/>
          <w:sz w:val="20"/>
          <w:szCs w:val="20"/>
          <w:lang w:val="en-GB" w:eastAsia="en-GB"/>
        </w:rPr>
        <w:t xml:space="preserve">community health workers). </w:t>
      </w:r>
      <w:r w:rsidR="00476874">
        <w:rPr>
          <w:rFonts w:ascii="Arial" w:hAnsi="Arial" w:cs="Arial"/>
          <w:sz w:val="20"/>
          <w:szCs w:val="20"/>
          <w:lang w:val="en-GB" w:eastAsia="en-GB"/>
        </w:rPr>
        <w:t>Factor in increases in popula</w:t>
      </w:r>
      <w:r w:rsidR="00551081">
        <w:rPr>
          <w:rFonts w:ascii="Arial" w:hAnsi="Arial" w:cs="Arial"/>
          <w:sz w:val="20"/>
          <w:szCs w:val="20"/>
          <w:lang w:val="en-GB" w:eastAsia="en-GB"/>
        </w:rPr>
        <w:t xml:space="preserve">tion coverage. </w:t>
      </w:r>
      <w:proofErr w:type="gramStart"/>
      <w:r w:rsidR="00AF1C88" w:rsidRPr="00476874">
        <w:rPr>
          <w:rFonts w:ascii="Arial" w:hAnsi="Arial" w:cs="Arial"/>
          <w:sz w:val="20"/>
          <w:szCs w:val="20"/>
          <w:lang w:val="en-GB" w:eastAsia="en-GB"/>
        </w:rPr>
        <w:t>Note also</w:t>
      </w:r>
      <w:proofErr w:type="gramEnd"/>
      <w:r w:rsidR="00AF1C88" w:rsidRPr="00476874">
        <w:rPr>
          <w:rFonts w:ascii="Arial" w:hAnsi="Arial" w:cs="Arial"/>
          <w:sz w:val="20"/>
          <w:szCs w:val="20"/>
          <w:lang w:val="en-GB" w:eastAsia="en-GB"/>
        </w:rPr>
        <w:t xml:space="preserve"> the coverage of ANC, and factor in any </w:t>
      </w:r>
      <w:r w:rsidR="00551081">
        <w:rPr>
          <w:rFonts w:ascii="Arial" w:hAnsi="Arial" w:cs="Arial"/>
          <w:sz w:val="20"/>
          <w:szCs w:val="20"/>
          <w:lang w:val="en-GB" w:eastAsia="en-GB"/>
        </w:rPr>
        <w:t xml:space="preserve">expected </w:t>
      </w:r>
      <w:r w:rsidR="00AF1C88" w:rsidRPr="00476874">
        <w:rPr>
          <w:rFonts w:ascii="Arial" w:hAnsi="Arial" w:cs="Arial"/>
          <w:sz w:val="20"/>
          <w:szCs w:val="20"/>
          <w:lang w:val="en-GB" w:eastAsia="en-GB"/>
        </w:rPr>
        <w:t xml:space="preserve">increases in </w:t>
      </w:r>
      <w:r w:rsidR="00551081">
        <w:rPr>
          <w:rFonts w:ascii="Arial" w:hAnsi="Arial" w:cs="Arial"/>
          <w:sz w:val="20"/>
          <w:szCs w:val="20"/>
          <w:lang w:val="en-GB" w:eastAsia="en-GB"/>
        </w:rPr>
        <w:t xml:space="preserve">ANC </w:t>
      </w:r>
      <w:r w:rsidR="00AF1C88" w:rsidRPr="00476874">
        <w:rPr>
          <w:rFonts w:ascii="Arial" w:hAnsi="Arial" w:cs="Arial"/>
          <w:sz w:val="20"/>
          <w:szCs w:val="20"/>
          <w:lang w:val="en-GB" w:eastAsia="en-GB"/>
        </w:rPr>
        <w:t>coverage</w:t>
      </w:r>
      <w:r w:rsidR="00551081">
        <w:rPr>
          <w:rFonts w:ascii="Arial" w:hAnsi="Arial" w:cs="Arial"/>
          <w:sz w:val="20"/>
          <w:szCs w:val="20"/>
          <w:lang w:val="en-GB" w:eastAsia="en-GB"/>
        </w:rPr>
        <w:t xml:space="preserve">. </w:t>
      </w:r>
      <w:r w:rsidRPr="00476874">
        <w:rPr>
          <w:rFonts w:ascii="Arial" w:hAnsi="Arial" w:cs="Arial"/>
          <w:sz w:val="20"/>
          <w:szCs w:val="20"/>
          <w:lang w:val="en-GB" w:eastAsia="en-GB"/>
        </w:rPr>
        <w:t xml:space="preserve"> </w:t>
      </w:r>
      <w:r w:rsidR="00F2355C">
        <w:rPr>
          <w:rFonts w:ascii="Arial" w:hAnsi="Arial" w:cs="Arial"/>
          <w:sz w:val="20"/>
          <w:szCs w:val="20"/>
          <w:lang w:val="en-GB" w:eastAsia="en-GB"/>
        </w:rPr>
        <w:t xml:space="preserve">Of the target </w:t>
      </w:r>
      <w:r w:rsidR="00F13790">
        <w:rPr>
          <w:rFonts w:ascii="Arial" w:hAnsi="Arial" w:cs="Arial"/>
          <w:sz w:val="20"/>
          <w:szCs w:val="20"/>
          <w:lang w:val="en-GB" w:eastAsia="en-GB"/>
        </w:rPr>
        <w:t xml:space="preserve">note what </w:t>
      </w:r>
      <w:proofErr w:type="gramStart"/>
      <w:r w:rsidR="00F13790">
        <w:rPr>
          <w:rFonts w:ascii="Arial" w:hAnsi="Arial" w:cs="Arial"/>
          <w:sz w:val="20"/>
          <w:szCs w:val="20"/>
          <w:lang w:val="en-GB" w:eastAsia="en-GB"/>
        </w:rPr>
        <w:t>is financed</w:t>
      </w:r>
      <w:proofErr w:type="gramEnd"/>
      <w:r w:rsidR="00F13790">
        <w:rPr>
          <w:rFonts w:ascii="Arial" w:hAnsi="Arial" w:cs="Arial"/>
          <w:sz w:val="20"/>
          <w:szCs w:val="20"/>
          <w:lang w:val="en-GB" w:eastAsia="en-GB"/>
        </w:rPr>
        <w:t xml:space="preserve"> </w:t>
      </w:r>
      <w:r w:rsidRPr="00476874">
        <w:rPr>
          <w:rFonts w:ascii="Arial" w:hAnsi="Arial" w:cs="Arial"/>
          <w:sz w:val="20"/>
          <w:szCs w:val="20"/>
          <w:lang w:val="en-GB" w:eastAsia="en-GB"/>
        </w:rPr>
        <w:t>through domestic and external resources, the need to be met through the GF allocations and any outstanding gaps. Consider covering any outstanding gaps through the Global Fund Prioritised Above Allocation Request</w:t>
      </w:r>
    </w:p>
    <w:p w14:paraId="16848433" w14:textId="77777777" w:rsidR="00FF75C7" w:rsidRPr="003E0DC7" w:rsidRDefault="00FF75C7" w:rsidP="00FF75C7">
      <w:pPr>
        <w:rPr>
          <w:rFonts w:ascii="Arial" w:hAnsi="Arial" w:cs="Arial"/>
          <w:sz w:val="20"/>
          <w:szCs w:val="20"/>
        </w:rPr>
      </w:pPr>
    </w:p>
    <w:p w14:paraId="7DF19195" w14:textId="05CD6FC8" w:rsidR="00C84001" w:rsidRPr="006869FB" w:rsidRDefault="00C84001" w:rsidP="0020756E">
      <w:pPr>
        <w:pStyle w:val="Heading2"/>
        <w:spacing w:before="120"/>
        <w:rPr>
          <w:rFonts w:ascii="Arial" w:hAnsi="Arial" w:cs="Arial"/>
          <w:sz w:val="20"/>
          <w:szCs w:val="20"/>
        </w:rPr>
      </w:pPr>
      <w:r w:rsidRPr="006869FB">
        <w:rPr>
          <w:rFonts w:ascii="Arial" w:hAnsi="Arial" w:cs="Arial"/>
          <w:sz w:val="20"/>
          <w:szCs w:val="20"/>
        </w:rPr>
        <w:t xml:space="preserve">Specific guidance notes for M&amp;E, Programme management, and Advocacy and BCC gap analysis </w:t>
      </w:r>
    </w:p>
    <w:p w14:paraId="376AFF89" w14:textId="03FD2B01" w:rsidR="00C84001" w:rsidRPr="006869FB" w:rsidRDefault="00C84001" w:rsidP="00A6629D">
      <w:pPr>
        <w:pStyle w:val="ListParagraph"/>
        <w:numPr>
          <w:ilvl w:val="0"/>
          <w:numId w:val="8"/>
        </w:numPr>
        <w:spacing w:before="120"/>
        <w:rPr>
          <w:rFonts w:ascii="Arial" w:hAnsi="Arial" w:cs="Arial"/>
          <w:b/>
          <w:color w:val="0070C0"/>
          <w:sz w:val="20"/>
          <w:szCs w:val="20"/>
        </w:rPr>
      </w:pPr>
      <w:r w:rsidRPr="006869FB">
        <w:rPr>
          <w:rFonts w:ascii="Arial" w:hAnsi="Arial" w:cs="Arial"/>
          <w:sz w:val="20"/>
          <w:szCs w:val="20"/>
        </w:rPr>
        <w:t>The list provided in the respective worksheet</w:t>
      </w:r>
      <w:r w:rsidR="00DA7551" w:rsidRPr="006869FB">
        <w:rPr>
          <w:rFonts w:ascii="Arial" w:hAnsi="Arial" w:cs="Arial"/>
          <w:sz w:val="20"/>
          <w:szCs w:val="20"/>
        </w:rPr>
        <w:t>s</w:t>
      </w:r>
      <w:r w:rsidRPr="006869FB">
        <w:rPr>
          <w:rFonts w:ascii="Arial" w:hAnsi="Arial" w:cs="Arial"/>
          <w:sz w:val="20"/>
          <w:szCs w:val="20"/>
        </w:rPr>
        <w:t xml:space="preserve"> for monitoring and evaluation, programme management, advocacy and </w:t>
      </w:r>
      <w:r w:rsidR="00C7132D">
        <w:rPr>
          <w:rFonts w:ascii="Arial" w:hAnsi="Arial" w:cs="Arial"/>
          <w:sz w:val="20"/>
          <w:szCs w:val="20"/>
        </w:rPr>
        <w:t>SBC</w:t>
      </w:r>
      <w:r w:rsidRPr="006869FB">
        <w:rPr>
          <w:rFonts w:ascii="Arial" w:hAnsi="Arial" w:cs="Arial"/>
          <w:sz w:val="20"/>
          <w:szCs w:val="20"/>
        </w:rPr>
        <w:t xml:space="preserve"> are all indicative. This is not meant to be comprehensive as the</w:t>
      </w:r>
      <w:r w:rsidR="00F912EE" w:rsidRPr="006869FB">
        <w:rPr>
          <w:rFonts w:ascii="Arial" w:hAnsi="Arial" w:cs="Arial"/>
          <w:sz w:val="20"/>
          <w:szCs w:val="20"/>
        </w:rPr>
        <w:t>s</w:t>
      </w:r>
      <w:r w:rsidRPr="006869FB">
        <w:rPr>
          <w:rFonts w:ascii="Arial" w:hAnsi="Arial" w:cs="Arial"/>
          <w:sz w:val="20"/>
          <w:szCs w:val="20"/>
        </w:rPr>
        <w:t>e support mechanisms d</w:t>
      </w:r>
      <w:r w:rsidR="00F912EE" w:rsidRPr="006869FB">
        <w:rPr>
          <w:rFonts w:ascii="Arial" w:hAnsi="Arial" w:cs="Arial"/>
          <w:sz w:val="20"/>
          <w:szCs w:val="20"/>
        </w:rPr>
        <w:t xml:space="preserve">iffer </w:t>
      </w:r>
      <w:r w:rsidRPr="006869FB">
        <w:rPr>
          <w:rFonts w:ascii="Arial" w:hAnsi="Arial" w:cs="Arial"/>
          <w:sz w:val="20"/>
          <w:szCs w:val="20"/>
        </w:rPr>
        <w:t>significantly between and within countries.</w:t>
      </w:r>
    </w:p>
    <w:p w14:paraId="1ED9EEBB" w14:textId="4F478A11" w:rsidR="00C84001" w:rsidRPr="006869FB" w:rsidRDefault="00C84001" w:rsidP="00A6629D">
      <w:pPr>
        <w:pStyle w:val="ListParagraph"/>
        <w:numPr>
          <w:ilvl w:val="0"/>
          <w:numId w:val="8"/>
        </w:numPr>
        <w:spacing w:before="120"/>
        <w:rPr>
          <w:rFonts w:ascii="Arial" w:hAnsi="Arial" w:cs="Arial"/>
          <w:b/>
          <w:color w:val="0070C0"/>
          <w:sz w:val="20"/>
          <w:szCs w:val="20"/>
        </w:rPr>
      </w:pPr>
      <w:r w:rsidRPr="006869FB">
        <w:rPr>
          <w:rFonts w:ascii="Arial" w:hAnsi="Arial" w:cs="Arial"/>
          <w:sz w:val="20"/>
          <w:szCs w:val="20"/>
        </w:rPr>
        <w:t xml:space="preserve">Ensure </w:t>
      </w:r>
      <w:r w:rsidR="00F912EE" w:rsidRPr="006869FB">
        <w:rPr>
          <w:rFonts w:ascii="Arial" w:hAnsi="Arial" w:cs="Arial"/>
          <w:sz w:val="20"/>
          <w:szCs w:val="20"/>
        </w:rPr>
        <w:t xml:space="preserve">you </w:t>
      </w:r>
      <w:r w:rsidRPr="006869FB">
        <w:rPr>
          <w:rFonts w:ascii="Arial" w:hAnsi="Arial" w:cs="Arial"/>
          <w:sz w:val="20"/>
          <w:szCs w:val="20"/>
        </w:rPr>
        <w:t>reflect the specific activities as per your National Strateg</w:t>
      </w:r>
      <w:r w:rsidR="00F912EE" w:rsidRPr="006869FB">
        <w:rPr>
          <w:rFonts w:ascii="Arial" w:hAnsi="Arial" w:cs="Arial"/>
          <w:sz w:val="20"/>
          <w:szCs w:val="20"/>
        </w:rPr>
        <w:t xml:space="preserve">ic </w:t>
      </w:r>
      <w:r w:rsidRPr="006869FB">
        <w:rPr>
          <w:rFonts w:ascii="Arial" w:hAnsi="Arial" w:cs="Arial"/>
          <w:sz w:val="20"/>
          <w:szCs w:val="20"/>
        </w:rPr>
        <w:t>Plans</w:t>
      </w:r>
      <w:r w:rsidR="00F912EE" w:rsidRPr="006869FB">
        <w:rPr>
          <w:rFonts w:ascii="Arial" w:hAnsi="Arial" w:cs="Arial"/>
          <w:sz w:val="20"/>
          <w:szCs w:val="20"/>
        </w:rPr>
        <w:t xml:space="preserve">. Ensure that </w:t>
      </w:r>
      <w:r w:rsidR="00D54867" w:rsidRPr="006869FB">
        <w:rPr>
          <w:rFonts w:ascii="Arial" w:hAnsi="Arial" w:cs="Arial"/>
          <w:sz w:val="20"/>
          <w:szCs w:val="20"/>
        </w:rPr>
        <w:t>evidence-based</w:t>
      </w:r>
      <w:r w:rsidR="00F912EE" w:rsidRPr="006869FB">
        <w:rPr>
          <w:rFonts w:ascii="Arial" w:hAnsi="Arial" w:cs="Arial"/>
          <w:sz w:val="20"/>
          <w:szCs w:val="20"/>
        </w:rPr>
        <w:t xml:space="preserve"> approaches to </w:t>
      </w:r>
      <w:r w:rsidR="00E51B40">
        <w:rPr>
          <w:rFonts w:ascii="Arial" w:hAnsi="Arial" w:cs="Arial"/>
          <w:sz w:val="20"/>
          <w:szCs w:val="20"/>
        </w:rPr>
        <w:t xml:space="preserve">SBC </w:t>
      </w:r>
      <w:r w:rsidR="00F912EE" w:rsidRPr="006869FB">
        <w:rPr>
          <w:rFonts w:ascii="Arial" w:hAnsi="Arial" w:cs="Arial"/>
          <w:sz w:val="20"/>
          <w:szCs w:val="20"/>
        </w:rPr>
        <w:t>are used. Depending on the local situation consider</w:t>
      </w:r>
      <w:r w:rsidR="000556EA" w:rsidRPr="006869FB">
        <w:rPr>
          <w:rFonts w:ascii="Arial" w:hAnsi="Arial" w:cs="Arial"/>
          <w:sz w:val="20"/>
          <w:szCs w:val="20"/>
        </w:rPr>
        <w:t xml:space="preserve"> a combination </w:t>
      </w:r>
      <w:r w:rsidR="005A39CA" w:rsidRPr="006869FB">
        <w:rPr>
          <w:rFonts w:ascii="Arial" w:hAnsi="Arial" w:cs="Arial"/>
          <w:sz w:val="20"/>
          <w:szCs w:val="20"/>
        </w:rPr>
        <w:t>of monitoring</w:t>
      </w:r>
      <w:r w:rsidR="000556EA" w:rsidRPr="006869FB">
        <w:rPr>
          <w:rFonts w:ascii="Arial" w:hAnsi="Arial" w:cs="Arial"/>
          <w:sz w:val="20"/>
          <w:szCs w:val="20"/>
        </w:rPr>
        <w:t xml:space="preserve"> and evaluation mechanisms including routine data through HMIS, </w:t>
      </w:r>
      <w:r w:rsidR="000556EA" w:rsidRPr="006869FB">
        <w:rPr>
          <w:rFonts w:ascii="Arial" w:hAnsi="Arial" w:cs="Arial"/>
          <w:sz w:val="20"/>
          <w:szCs w:val="20"/>
        </w:rPr>
        <w:lastRenderedPageBreak/>
        <w:t xml:space="preserve">LMIS </w:t>
      </w:r>
      <w:r w:rsidR="005A39CA" w:rsidRPr="006869FB">
        <w:rPr>
          <w:rFonts w:ascii="Arial" w:hAnsi="Arial" w:cs="Arial"/>
          <w:sz w:val="20"/>
          <w:szCs w:val="20"/>
        </w:rPr>
        <w:t>etc.</w:t>
      </w:r>
      <w:r w:rsidR="000556EA" w:rsidRPr="006869FB">
        <w:rPr>
          <w:rFonts w:ascii="Arial" w:hAnsi="Arial" w:cs="Arial"/>
          <w:sz w:val="20"/>
          <w:szCs w:val="20"/>
        </w:rPr>
        <w:t xml:space="preserve"> as well as surveys such as MIS</w:t>
      </w:r>
      <w:r w:rsidR="00E16FE0" w:rsidRPr="006869FB">
        <w:rPr>
          <w:rFonts w:ascii="Arial" w:hAnsi="Arial" w:cs="Arial"/>
          <w:sz w:val="20"/>
          <w:szCs w:val="20"/>
        </w:rPr>
        <w:t>’</w:t>
      </w:r>
      <w:r w:rsidR="000556EA" w:rsidRPr="006869FB">
        <w:rPr>
          <w:rFonts w:ascii="Arial" w:hAnsi="Arial" w:cs="Arial"/>
          <w:sz w:val="20"/>
          <w:szCs w:val="20"/>
        </w:rPr>
        <w:t>s.</w:t>
      </w:r>
      <w:r w:rsidR="00146FB3" w:rsidRPr="006869FB">
        <w:rPr>
          <w:rFonts w:ascii="Arial" w:hAnsi="Arial" w:cs="Arial"/>
          <w:sz w:val="20"/>
          <w:szCs w:val="20"/>
        </w:rPr>
        <w:t xml:space="preserve"> Also include essential activities such as insecticide resistance monitoring, drug resistance monitoring and </w:t>
      </w:r>
      <w:r w:rsidR="001E2F1D" w:rsidRPr="006869FB">
        <w:rPr>
          <w:rFonts w:ascii="Arial" w:hAnsi="Arial" w:cs="Arial"/>
          <w:sz w:val="20"/>
          <w:szCs w:val="20"/>
        </w:rPr>
        <w:t>ITN</w:t>
      </w:r>
      <w:r w:rsidR="00146FB3" w:rsidRPr="006869FB">
        <w:rPr>
          <w:rFonts w:ascii="Arial" w:hAnsi="Arial" w:cs="Arial"/>
          <w:sz w:val="20"/>
          <w:szCs w:val="20"/>
        </w:rPr>
        <w:t xml:space="preserve"> durability monitoring.</w:t>
      </w:r>
      <w:r w:rsidR="00F912EE" w:rsidRPr="006869FB">
        <w:rPr>
          <w:rFonts w:ascii="Arial" w:hAnsi="Arial" w:cs="Arial"/>
          <w:sz w:val="20"/>
          <w:szCs w:val="20"/>
        </w:rPr>
        <w:t xml:space="preserve"> </w:t>
      </w:r>
      <w:r w:rsidRPr="006869FB">
        <w:rPr>
          <w:rFonts w:ascii="Arial" w:hAnsi="Arial" w:cs="Arial"/>
          <w:sz w:val="20"/>
          <w:szCs w:val="20"/>
        </w:rPr>
        <w:t xml:space="preserve"> </w:t>
      </w:r>
    </w:p>
    <w:p w14:paraId="29A84C1C" w14:textId="15776D47" w:rsidR="00C84001" w:rsidRPr="006869FB" w:rsidRDefault="00C84001" w:rsidP="00A6629D">
      <w:pPr>
        <w:pStyle w:val="ListParagraph"/>
        <w:numPr>
          <w:ilvl w:val="0"/>
          <w:numId w:val="8"/>
        </w:numPr>
        <w:spacing w:before="120"/>
        <w:rPr>
          <w:rFonts w:ascii="Arial" w:hAnsi="Arial" w:cs="Arial"/>
          <w:b/>
          <w:color w:val="0070C0"/>
          <w:sz w:val="20"/>
          <w:szCs w:val="20"/>
        </w:rPr>
      </w:pPr>
      <w:r w:rsidRPr="006869FB">
        <w:rPr>
          <w:rFonts w:ascii="Arial" w:hAnsi="Arial" w:cs="Arial"/>
          <w:sz w:val="20"/>
          <w:szCs w:val="20"/>
        </w:rPr>
        <w:t xml:space="preserve">Determine the average cost per unit to fully undertake each of the </w:t>
      </w:r>
      <w:r w:rsidR="00D54867" w:rsidRPr="006869FB">
        <w:rPr>
          <w:rFonts w:ascii="Arial" w:hAnsi="Arial" w:cs="Arial"/>
          <w:sz w:val="20"/>
          <w:szCs w:val="20"/>
        </w:rPr>
        <w:t>activities and</w:t>
      </w:r>
      <w:r w:rsidRPr="006869FB">
        <w:rPr>
          <w:rFonts w:ascii="Arial" w:hAnsi="Arial" w:cs="Arial"/>
          <w:sz w:val="20"/>
          <w:szCs w:val="20"/>
        </w:rPr>
        <w:t xml:space="preserve"> use that to derive the total cost per activity per year. </w:t>
      </w:r>
    </w:p>
    <w:p w14:paraId="387C8F49" w14:textId="77777777" w:rsidR="00C84001" w:rsidRPr="006869FB" w:rsidRDefault="00C84001" w:rsidP="00A6629D">
      <w:pPr>
        <w:pStyle w:val="ListParagraph"/>
        <w:numPr>
          <w:ilvl w:val="0"/>
          <w:numId w:val="8"/>
        </w:numPr>
        <w:spacing w:before="120"/>
        <w:rPr>
          <w:rFonts w:ascii="Arial" w:hAnsi="Arial" w:cs="Arial"/>
          <w:b/>
          <w:color w:val="0070C0"/>
          <w:sz w:val="20"/>
          <w:szCs w:val="20"/>
        </w:rPr>
      </w:pPr>
      <w:r w:rsidRPr="006869FB">
        <w:rPr>
          <w:rFonts w:ascii="Arial" w:hAnsi="Arial" w:cs="Arial"/>
          <w:sz w:val="20"/>
          <w:szCs w:val="20"/>
        </w:rPr>
        <w:t xml:space="preserve">As the costing of most of these activities are country specific, there is the need to justify the cost of these support activities in your </w:t>
      </w:r>
      <w:r w:rsidR="00F912EE" w:rsidRPr="006869FB">
        <w:rPr>
          <w:rFonts w:ascii="Arial" w:hAnsi="Arial" w:cs="Arial"/>
          <w:sz w:val="20"/>
          <w:szCs w:val="20"/>
        </w:rPr>
        <w:t xml:space="preserve">financial </w:t>
      </w:r>
      <w:r w:rsidRPr="006869FB">
        <w:rPr>
          <w:rFonts w:ascii="Arial" w:hAnsi="Arial" w:cs="Arial"/>
          <w:sz w:val="20"/>
          <w:szCs w:val="20"/>
        </w:rPr>
        <w:t xml:space="preserve">gap analysis. </w:t>
      </w:r>
    </w:p>
    <w:p w14:paraId="7A372E4F" w14:textId="77777777" w:rsidR="00FB3C97" w:rsidRPr="006869FB" w:rsidRDefault="00FB3C97" w:rsidP="0020756E">
      <w:pPr>
        <w:pStyle w:val="Heading1"/>
        <w:spacing w:before="120"/>
        <w:rPr>
          <w:rFonts w:ascii="Arial" w:hAnsi="Arial" w:cs="Arial"/>
          <w:sz w:val="20"/>
          <w:szCs w:val="20"/>
        </w:rPr>
      </w:pPr>
      <w:r w:rsidRPr="006869FB">
        <w:rPr>
          <w:rFonts w:ascii="Arial" w:hAnsi="Arial" w:cs="Arial"/>
          <w:sz w:val="20"/>
          <w:szCs w:val="20"/>
        </w:rPr>
        <w:t xml:space="preserve">Method for </w:t>
      </w:r>
      <w:r w:rsidR="000556EA" w:rsidRPr="006869FB">
        <w:rPr>
          <w:rFonts w:ascii="Arial" w:hAnsi="Arial" w:cs="Arial"/>
          <w:sz w:val="20"/>
          <w:szCs w:val="20"/>
        </w:rPr>
        <w:t xml:space="preserve">conducting the </w:t>
      </w:r>
      <w:r w:rsidRPr="006869FB">
        <w:rPr>
          <w:rFonts w:ascii="Arial" w:hAnsi="Arial" w:cs="Arial"/>
          <w:sz w:val="20"/>
          <w:szCs w:val="20"/>
        </w:rPr>
        <w:t xml:space="preserve">malaria financial gap analysis </w:t>
      </w:r>
    </w:p>
    <w:p w14:paraId="31F878BF" w14:textId="77777777" w:rsidR="00AF423C" w:rsidRPr="006869FB" w:rsidRDefault="00AF423C" w:rsidP="0020756E">
      <w:pPr>
        <w:pStyle w:val="ListParagraph"/>
        <w:spacing w:before="120"/>
        <w:ind w:left="360"/>
        <w:rPr>
          <w:rFonts w:ascii="Arial" w:hAnsi="Arial" w:cs="Arial"/>
          <w:sz w:val="20"/>
          <w:szCs w:val="20"/>
        </w:rPr>
      </w:pPr>
      <w:r w:rsidRPr="006869FB">
        <w:rPr>
          <w:rFonts w:ascii="Arial" w:hAnsi="Arial" w:cs="Arial"/>
          <w:sz w:val="20"/>
          <w:szCs w:val="20"/>
        </w:rPr>
        <w:t xml:space="preserve">The financial gap analysis should be based on needs identified under the programmatic gap analysis for each intervention. </w:t>
      </w:r>
    </w:p>
    <w:p w14:paraId="55633466" w14:textId="4265FC7D" w:rsidR="00AF423C" w:rsidRPr="006869FB" w:rsidRDefault="00AF423C" w:rsidP="0020756E">
      <w:pPr>
        <w:pStyle w:val="ListParagraph"/>
        <w:numPr>
          <w:ilvl w:val="0"/>
          <w:numId w:val="1"/>
        </w:numPr>
        <w:spacing w:before="120"/>
        <w:jc w:val="both"/>
        <w:rPr>
          <w:rFonts w:ascii="Arial" w:hAnsi="Arial" w:cs="Arial"/>
          <w:sz w:val="20"/>
          <w:szCs w:val="20"/>
        </w:rPr>
      </w:pPr>
      <w:r w:rsidRPr="006869FB">
        <w:rPr>
          <w:rFonts w:ascii="Arial" w:hAnsi="Arial" w:cs="Arial"/>
          <w:sz w:val="20"/>
          <w:szCs w:val="20"/>
        </w:rPr>
        <w:t xml:space="preserve">Quantify the cost of commodities needed for each </w:t>
      </w:r>
      <w:r w:rsidR="00D54867" w:rsidRPr="006869FB">
        <w:rPr>
          <w:rFonts w:ascii="Arial" w:hAnsi="Arial" w:cs="Arial"/>
          <w:sz w:val="20"/>
          <w:szCs w:val="20"/>
        </w:rPr>
        <w:t>intervention</w:t>
      </w:r>
      <w:r w:rsidR="004A1F0D" w:rsidRPr="006869FB">
        <w:rPr>
          <w:rFonts w:ascii="Arial" w:hAnsi="Arial" w:cs="Arial"/>
          <w:sz w:val="20"/>
          <w:szCs w:val="20"/>
        </w:rPr>
        <w:t>.</w:t>
      </w:r>
      <w:r w:rsidR="005048E7" w:rsidRPr="006869FB">
        <w:rPr>
          <w:rStyle w:val="FootnoteReference"/>
          <w:rFonts w:ascii="Arial" w:hAnsi="Arial" w:cs="Arial"/>
          <w:sz w:val="20"/>
          <w:szCs w:val="20"/>
        </w:rPr>
        <w:footnoteReference w:id="2"/>
      </w:r>
      <w:r w:rsidR="004A1F0D" w:rsidRPr="006869FB">
        <w:rPr>
          <w:rFonts w:ascii="Arial" w:hAnsi="Arial" w:cs="Arial"/>
          <w:sz w:val="20"/>
          <w:szCs w:val="20"/>
        </w:rPr>
        <w:t xml:space="preserve"> </w:t>
      </w:r>
    </w:p>
    <w:p w14:paraId="59DE0159" w14:textId="1764BF12" w:rsidR="00AF423C" w:rsidRPr="006869FB" w:rsidRDefault="002D551C" w:rsidP="0020756E">
      <w:pPr>
        <w:pStyle w:val="ListParagraph"/>
        <w:numPr>
          <w:ilvl w:val="0"/>
          <w:numId w:val="1"/>
        </w:numPr>
        <w:spacing w:before="120"/>
        <w:jc w:val="both"/>
        <w:rPr>
          <w:rFonts w:ascii="Arial" w:hAnsi="Arial" w:cs="Arial"/>
          <w:sz w:val="20"/>
          <w:szCs w:val="20"/>
        </w:rPr>
      </w:pPr>
      <w:proofErr w:type="spellStart"/>
      <w:r w:rsidRPr="006869FB">
        <w:rPr>
          <w:rFonts w:ascii="Arial" w:hAnsi="Arial" w:cs="Arial"/>
          <w:sz w:val="20"/>
          <w:szCs w:val="20"/>
        </w:rPr>
        <w:t>Summarise</w:t>
      </w:r>
      <w:proofErr w:type="spellEnd"/>
      <w:r w:rsidRPr="006869FB">
        <w:rPr>
          <w:rFonts w:ascii="Arial" w:hAnsi="Arial" w:cs="Arial"/>
          <w:sz w:val="20"/>
          <w:szCs w:val="20"/>
        </w:rPr>
        <w:t xml:space="preserve"> </w:t>
      </w:r>
      <w:r w:rsidR="00AF423C" w:rsidRPr="006869FB">
        <w:rPr>
          <w:rFonts w:ascii="Arial" w:hAnsi="Arial" w:cs="Arial"/>
          <w:sz w:val="20"/>
          <w:szCs w:val="20"/>
        </w:rPr>
        <w:t xml:space="preserve">the cost of commodities already covered with </w:t>
      </w:r>
      <w:r w:rsidR="00D54867" w:rsidRPr="006869FB">
        <w:rPr>
          <w:rFonts w:ascii="Arial" w:hAnsi="Arial" w:cs="Arial"/>
          <w:sz w:val="20"/>
          <w:szCs w:val="20"/>
        </w:rPr>
        <w:t>existing resources</w:t>
      </w:r>
    </w:p>
    <w:p w14:paraId="34E69A6F" w14:textId="77777777" w:rsidR="00FE74FD" w:rsidRPr="006869FB" w:rsidRDefault="00FE74FD" w:rsidP="0020756E">
      <w:pPr>
        <w:pStyle w:val="ListParagraph"/>
        <w:spacing w:before="120"/>
        <w:ind w:left="360"/>
        <w:jc w:val="both"/>
        <w:rPr>
          <w:rFonts w:ascii="Arial" w:hAnsi="Arial" w:cs="Arial"/>
          <w:i/>
          <w:sz w:val="20"/>
          <w:szCs w:val="20"/>
        </w:rPr>
      </w:pPr>
      <w:r w:rsidRPr="006869FB">
        <w:rPr>
          <w:rFonts w:ascii="Arial" w:hAnsi="Arial" w:cs="Arial"/>
          <w:i/>
          <w:sz w:val="20"/>
          <w:szCs w:val="20"/>
        </w:rPr>
        <w:t xml:space="preserve">Both information from domestic funding and international partners will be </w:t>
      </w:r>
      <w:proofErr w:type="gramStart"/>
      <w:r w:rsidRPr="006869FB">
        <w:rPr>
          <w:rFonts w:ascii="Arial" w:hAnsi="Arial" w:cs="Arial"/>
          <w:i/>
          <w:sz w:val="20"/>
          <w:szCs w:val="20"/>
        </w:rPr>
        <w:t>taken into account</w:t>
      </w:r>
      <w:proofErr w:type="gramEnd"/>
      <w:r w:rsidRPr="006869FB">
        <w:rPr>
          <w:rFonts w:ascii="Arial" w:hAnsi="Arial" w:cs="Arial"/>
          <w:i/>
          <w:sz w:val="20"/>
          <w:szCs w:val="20"/>
        </w:rPr>
        <w:t xml:space="preserve"> </w:t>
      </w:r>
    </w:p>
    <w:p w14:paraId="0DBF6BC5" w14:textId="77777777" w:rsidR="00FE74FD" w:rsidRPr="006869FB" w:rsidRDefault="00FE74FD" w:rsidP="0020756E">
      <w:pPr>
        <w:pStyle w:val="ListParagraph"/>
        <w:numPr>
          <w:ilvl w:val="0"/>
          <w:numId w:val="1"/>
        </w:numPr>
        <w:spacing w:before="120"/>
        <w:jc w:val="both"/>
        <w:rPr>
          <w:rFonts w:ascii="Arial" w:hAnsi="Arial" w:cs="Arial"/>
          <w:sz w:val="20"/>
          <w:szCs w:val="20"/>
        </w:rPr>
      </w:pPr>
      <w:r w:rsidRPr="006869FB">
        <w:rPr>
          <w:rFonts w:ascii="Arial" w:hAnsi="Arial" w:cs="Arial"/>
          <w:sz w:val="20"/>
          <w:szCs w:val="20"/>
        </w:rPr>
        <w:t>Identify the cost of commodities that still need to be covered</w:t>
      </w:r>
    </w:p>
    <w:p w14:paraId="03961712" w14:textId="77777777" w:rsidR="00AF423C" w:rsidRPr="006869FB" w:rsidRDefault="00AF423C" w:rsidP="0020756E">
      <w:pPr>
        <w:pStyle w:val="ListParagraph"/>
        <w:numPr>
          <w:ilvl w:val="0"/>
          <w:numId w:val="1"/>
        </w:numPr>
        <w:spacing w:before="120"/>
        <w:jc w:val="both"/>
        <w:rPr>
          <w:rFonts w:ascii="Arial" w:hAnsi="Arial" w:cs="Arial"/>
          <w:sz w:val="20"/>
          <w:szCs w:val="20"/>
        </w:rPr>
      </w:pPr>
      <w:r w:rsidRPr="006869FB">
        <w:rPr>
          <w:rFonts w:ascii="Arial" w:hAnsi="Arial" w:cs="Arial"/>
          <w:sz w:val="20"/>
          <w:szCs w:val="20"/>
        </w:rPr>
        <w:t xml:space="preserve">Quantify the cost of the detailed activities to be undertaken and timeframe (technical and supportive activities) </w:t>
      </w:r>
    </w:p>
    <w:p w14:paraId="2FFFD15A" w14:textId="77777777" w:rsidR="00AF423C" w:rsidRPr="006869FB" w:rsidRDefault="00AF423C" w:rsidP="0020756E">
      <w:pPr>
        <w:pStyle w:val="ListParagraph"/>
        <w:numPr>
          <w:ilvl w:val="0"/>
          <w:numId w:val="1"/>
        </w:numPr>
        <w:spacing w:before="120"/>
        <w:jc w:val="both"/>
        <w:rPr>
          <w:rFonts w:ascii="Arial" w:hAnsi="Arial" w:cs="Arial"/>
          <w:sz w:val="20"/>
          <w:szCs w:val="20"/>
        </w:rPr>
      </w:pPr>
      <w:r w:rsidRPr="006869FB">
        <w:rPr>
          <w:rFonts w:ascii="Arial" w:hAnsi="Arial" w:cs="Arial"/>
          <w:sz w:val="20"/>
          <w:szCs w:val="20"/>
        </w:rPr>
        <w:t>Assess the</w:t>
      </w:r>
      <w:r w:rsidR="00FE74FD" w:rsidRPr="006869FB">
        <w:rPr>
          <w:rFonts w:ascii="Arial" w:hAnsi="Arial" w:cs="Arial"/>
          <w:sz w:val="20"/>
          <w:szCs w:val="20"/>
        </w:rPr>
        <w:t xml:space="preserve"> cost of</w:t>
      </w:r>
      <w:r w:rsidRPr="006869FB">
        <w:rPr>
          <w:rFonts w:ascii="Arial" w:hAnsi="Arial" w:cs="Arial"/>
          <w:sz w:val="20"/>
          <w:szCs w:val="20"/>
        </w:rPr>
        <w:t xml:space="preserve"> activities already covered with the existing resources</w:t>
      </w:r>
    </w:p>
    <w:p w14:paraId="040F2BF0" w14:textId="77777777" w:rsidR="00AF423C" w:rsidRPr="006869FB" w:rsidRDefault="00AF423C" w:rsidP="0020756E">
      <w:pPr>
        <w:pStyle w:val="ListParagraph"/>
        <w:numPr>
          <w:ilvl w:val="0"/>
          <w:numId w:val="1"/>
        </w:numPr>
        <w:spacing w:before="120"/>
        <w:jc w:val="both"/>
        <w:rPr>
          <w:rFonts w:ascii="Arial" w:hAnsi="Arial" w:cs="Arial"/>
          <w:sz w:val="20"/>
          <w:szCs w:val="20"/>
        </w:rPr>
      </w:pPr>
      <w:r w:rsidRPr="006869FB">
        <w:rPr>
          <w:rFonts w:ascii="Arial" w:hAnsi="Arial" w:cs="Arial"/>
          <w:sz w:val="20"/>
          <w:szCs w:val="20"/>
        </w:rPr>
        <w:t xml:space="preserve">Identify </w:t>
      </w:r>
      <w:r w:rsidR="00FE74FD" w:rsidRPr="006869FB">
        <w:rPr>
          <w:rFonts w:ascii="Arial" w:hAnsi="Arial" w:cs="Arial"/>
          <w:sz w:val="20"/>
          <w:szCs w:val="20"/>
        </w:rPr>
        <w:t xml:space="preserve">the cost of </w:t>
      </w:r>
      <w:r w:rsidRPr="006869FB">
        <w:rPr>
          <w:rFonts w:ascii="Arial" w:hAnsi="Arial" w:cs="Arial"/>
          <w:sz w:val="20"/>
          <w:szCs w:val="20"/>
        </w:rPr>
        <w:t>the activities that still need to be covered</w:t>
      </w:r>
    </w:p>
    <w:p w14:paraId="5515392E" w14:textId="77777777" w:rsidR="00FE74FD" w:rsidRPr="006869FB" w:rsidRDefault="00FE74FD" w:rsidP="0020756E">
      <w:pPr>
        <w:pStyle w:val="ListParagraph"/>
        <w:spacing w:before="120"/>
        <w:ind w:left="360"/>
        <w:jc w:val="both"/>
        <w:rPr>
          <w:rFonts w:ascii="Arial" w:hAnsi="Arial" w:cs="Arial"/>
          <w:i/>
          <w:sz w:val="20"/>
          <w:szCs w:val="20"/>
        </w:rPr>
      </w:pPr>
      <w:r w:rsidRPr="006869FB">
        <w:rPr>
          <w:rFonts w:ascii="Arial" w:hAnsi="Arial" w:cs="Arial"/>
          <w:i/>
          <w:sz w:val="20"/>
          <w:szCs w:val="20"/>
        </w:rPr>
        <w:t xml:space="preserve">Both information from domestic funding and international partners will be </w:t>
      </w:r>
      <w:proofErr w:type="gramStart"/>
      <w:r w:rsidRPr="006869FB">
        <w:rPr>
          <w:rFonts w:ascii="Arial" w:hAnsi="Arial" w:cs="Arial"/>
          <w:i/>
          <w:sz w:val="20"/>
          <w:szCs w:val="20"/>
        </w:rPr>
        <w:t>taken into account</w:t>
      </w:r>
      <w:proofErr w:type="gramEnd"/>
      <w:r w:rsidRPr="006869FB">
        <w:rPr>
          <w:rFonts w:ascii="Arial" w:hAnsi="Arial" w:cs="Arial"/>
          <w:i/>
          <w:sz w:val="20"/>
          <w:szCs w:val="20"/>
        </w:rPr>
        <w:t xml:space="preserve">. Unit cost for commodities and activities will always </w:t>
      </w:r>
      <w:proofErr w:type="gramStart"/>
      <w:r w:rsidRPr="006869FB">
        <w:rPr>
          <w:rFonts w:ascii="Arial" w:hAnsi="Arial" w:cs="Arial"/>
          <w:i/>
          <w:sz w:val="20"/>
          <w:szCs w:val="20"/>
        </w:rPr>
        <w:t>take into account</w:t>
      </w:r>
      <w:proofErr w:type="gramEnd"/>
      <w:r w:rsidRPr="006869FB">
        <w:rPr>
          <w:rFonts w:ascii="Arial" w:hAnsi="Arial" w:cs="Arial"/>
          <w:i/>
          <w:sz w:val="20"/>
          <w:szCs w:val="20"/>
        </w:rPr>
        <w:t xml:space="preserve"> international standards and local operational cost </w:t>
      </w:r>
    </w:p>
    <w:p w14:paraId="7AAD8F4F" w14:textId="06DC34B7" w:rsidR="00406285" w:rsidRPr="006869FB" w:rsidRDefault="00BF3079" w:rsidP="0020756E">
      <w:pPr>
        <w:spacing w:before="120"/>
        <w:rPr>
          <w:rFonts w:ascii="Arial" w:hAnsi="Arial" w:cs="Arial"/>
          <w:b/>
          <w:sz w:val="20"/>
          <w:szCs w:val="20"/>
        </w:rPr>
      </w:pPr>
      <w:r w:rsidRPr="006869FB">
        <w:rPr>
          <w:rFonts w:ascii="Arial" w:hAnsi="Arial" w:cs="Arial"/>
          <w:b/>
          <w:sz w:val="20"/>
          <w:szCs w:val="20"/>
        </w:rPr>
        <w:t>T</w:t>
      </w:r>
      <w:r w:rsidR="00406285" w:rsidRPr="006869FB">
        <w:rPr>
          <w:rFonts w:ascii="Arial" w:hAnsi="Arial" w:cs="Arial"/>
          <w:b/>
          <w:sz w:val="20"/>
          <w:szCs w:val="20"/>
        </w:rPr>
        <w:t xml:space="preserve">able 2: Summary budget gap analysis </w:t>
      </w:r>
    </w:p>
    <w:tbl>
      <w:tblPr>
        <w:tblW w:w="8380" w:type="dxa"/>
        <w:tblInd w:w="113" w:type="dxa"/>
        <w:tblLook w:val="04A0" w:firstRow="1" w:lastRow="0" w:firstColumn="1" w:lastColumn="0" w:noHBand="0" w:noVBand="1"/>
      </w:tblPr>
      <w:tblGrid>
        <w:gridCol w:w="4540"/>
        <w:gridCol w:w="960"/>
        <w:gridCol w:w="960"/>
        <w:gridCol w:w="960"/>
        <w:gridCol w:w="960"/>
      </w:tblGrid>
      <w:tr w:rsidR="00525916" w:rsidRPr="006869FB" w14:paraId="64E74D8B" w14:textId="77777777" w:rsidTr="00525916">
        <w:trPr>
          <w:trHeight w:val="30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98BEB"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D9806E" w14:textId="3EDDA891" w:rsidR="00525916" w:rsidRPr="006869FB" w:rsidRDefault="00525916" w:rsidP="0020756E">
            <w:pPr>
              <w:spacing w:before="120"/>
              <w:jc w:val="right"/>
              <w:rPr>
                <w:rFonts w:ascii="Arial" w:hAnsi="Arial" w:cs="Arial"/>
                <w:b/>
                <w:bCs/>
                <w:color w:val="FF0000"/>
                <w:sz w:val="20"/>
                <w:szCs w:val="20"/>
              </w:rPr>
            </w:pPr>
            <w:r w:rsidRPr="006869FB">
              <w:rPr>
                <w:rFonts w:ascii="Arial" w:hAnsi="Arial" w:cs="Arial"/>
                <w:b/>
                <w:bCs/>
                <w:color w:val="FF0000"/>
                <w:sz w:val="20"/>
                <w:szCs w:val="20"/>
              </w:rPr>
              <w:t>20</w:t>
            </w:r>
            <w:r w:rsidR="00E51CDE" w:rsidRPr="006869FB">
              <w:rPr>
                <w:rFonts w:ascii="Arial" w:hAnsi="Arial" w:cs="Arial"/>
                <w:b/>
                <w:bCs/>
                <w:color w:val="FF0000"/>
                <w:sz w:val="20"/>
                <w:szCs w:val="20"/>
              </w:rPr>
              <w:t>2</w:t>
            </w:r>
            <w:r w:rsidR="00414321" w:rsidRPr="006869FB">
              <w:rPr>
                <w:rFonts w:ascii="Arial" w:hAnsi="Arial" w:cs="Arial"/>
                <w:b/>
                <w:bCs/>
                <w:color w:val="FF0000"/>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20B727" w14:textId="58988942" w:rsidR="00525916" w:rsidRPr="006869FB" w:rsidRDefault="00525916" w:rsidP="0020756E">
            <w:pPr>
              <w:spacing w:before="120"/>
              <w:jc w:val="right"/>
              <w:rPr>
                <w:rFonts w:ascii="Arial" w:hAnsi="Arial" w:cs="Arial"/>
                <w:b/>
                <w:bCs/>
                <w:color w:val="FF0000"/>
                <w:sz w:val="20"/>
                <w:szCs w:val="20"/>
              </w:rPr>
            </w:pPr>
            <w:r w:rsidRPr="006869FB">
              <w:rPr>
                <w:rFonts w:ascii="Arial" w:hAnsi="Arial" w:cs="Arial"/>
                <w:b/>
                <w:bCs/>
                <w:color w:val="FF0000"/>
                <w:sz w:val="20"/>
                <w:szCs w:val="20"/>
              </w:rPr>
              <w:t>20</w:t>
            </w:r>
            <w:r w:rsidR="00E51CDE" w:rsidRPr="006869FB">
              <w:rPr>
                <w:rFonts w:ascii="Arial" w:hAnsi="Arial" w:cs="Arial"/>
                <w:b/>
                <w:bCs/>
                <w:color w:val="FF0000"/>
                <w:sz w:val="20"/>
                <w:szCs w:val="20"/>
              </w:rPr>
              <w:t>2</w:t>
            </w:r>
            <w:r w:rsidR="00414321" w:rsidRPr="006869FB">
              <w:rPr>
                <w:rFonts w:ascii="Arial" w:hAnsi="Arial" w:cs="Arial"/>
                <w:b/>
                <w:bCs/>
                <w:color w:val="FF0000"/>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1F400B" w14:textId="6ED686DC" w:rsidR="00525916" w:rsidRPr="006869FB" w:rsidRDefault="00525916" w:rsidP="0020756E">
            <w:pPr>
              <w:spacing w:before="120"/>
              <w:jc w:val="right"/>
              <w:rPr>
                <w:rFonts w:ascii="Arial" w:hAnsi="Arial" w:cs="Arial"/>
                <w:b/>
                <w:bCs/>
                <w:color w:val="FF0000"/>
                <w:sz w:val="20"/>
                <w:szCs w:val="20"/>
              </w:rPr>
            </w:pPr>
            <w:r w:rsidRPr="006869FB">
              <w:rPr>
                <w:rFonts w:ascii="Arial" w:hAnsi="Arial" w:cs="Arial"/>
                <w:b/>
                <w:bCs/>
                <w:color w:val="FF0000"/>
                <w:sz w:val="20"/>
                <w:szCs w:val="20"/>
              </w:rPr>
              <w:t>20</w:t>
            </w:r>
            <w:r w:rsidR="00E51CDE" w:rsidRPr="006869FB">
              <w:rPr>
                <w:rFonts w:ascii="Arial" w:hAnsi="Arial" w:cs="Arial"/>
                <w:b/>
                <w:bCs/>
                <w:color w:val="FF0000"/>
                <w:sz w:val="20"/>
                <w:szCs w:val="20"/>
              </w:rPr>
              <w:t>2</w:t>
            </w:r>
            <w:r w:rsidR="00414321" w:rsidRPr="006869FB">
              <w:rPr>
                <w:rFonts w:ascii="Arial" w:hAnsi="Arial" w:cs="Arial"/>
                <w:b/>
                <w:bCs/>
                <w:color w:val="FF0000"/>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E896A0" w14:textId="3700969D" w:rsidR="00525916" w:rsidRPr="006869FB" w:rsidRDefault="00525916" w:rsidP="0020756E">
            <w:pPr>
              <w:spacing w:before="120"/>
              <w:jc w:val="right"/>
              <w:rPr>
                <w:rFonts w:ascii="Arial" w:hAnsi="Arial" w:cs="Arial"/>
                <w:b/>
                <w:bCs/>
                <w:color w:val="FF0000"/>
                <w:sz w:val="20"/>
                <w:szCs w:val="20"/>
              </w:rPr>
            </w:pPr>
            <w:r w:rsidRPr="006869FB">
              <w:rPr>
                <w:rFonts w:ascii="Arial" w:hAnsi="Arial" w:cs="Arial"/>
                <w:b/>
                <w:bCs/>
                <w:color w:val="FF0000"/>
                <w:sz w:val="20"/>
                <w:szCs w:val="20"/>
              </w:rPr>
              <w:t>202</w:t>
            </w:r>
            <w:r w:rsidR="00414321" w:rsidRPr="006869FB">
              <w:rPr>
                <w:rFonts w:ascii="Arial" w:hAnsi="Arial" w:cs="Arial"/>
                <w:b/>
                <w:bCs/>
                <w:color w:val="FF0000"/>
                <w:sz w:val="20"/>
                <w:szCs w:val="20"/>
              </w:rPr>
              <w:t>6</w:t>
            </w:r>
          </w:p>
        </w:tc>
      </w:tr>
      <w:tr w:rsidR="00525916" w:rsidRPr="006869FB" w14:paraId="496A2C95"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896AA09"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Total need $</w:t>
            </w:r>
          </w:p>
        </w:tc>
        <w:tc>
          <w:tcPr>
            <w:tcW w:w="960" w:type="dxa"/>
            <w:tcBorders>
              <w:top w:val="nil"/>
              <w:left w:val="nil"/>
              <w:bottom w:val="single" w:sz="4" w:space="0" w:color="auto"/>
              <w:right w:val="single" w:sz="4" w:space="0" w:color="auto"/>
            </w:tcBorders>
            <w:shd w:val="clear" w:color="auto" w:fill="auto"/>
            <w:noWrap/>
            <w:vAlign w:val="bottom"/>
            <w:hideMark/>
          </w:tcPr>
          <w:p w14:paraId="6E76F794"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4CF31"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8D7055"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B2513"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r>
      <w:tr w:rsidR="00525916" w:rsidRPr="006869FB" w14:paraId="51D37B0F"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93D3270"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Domestic resources</w:t>
            </w:r>
          </w:p>
        </w:tc>
        <w:tc>
          <w:tcPr>
            <w:tcW w:w="960" w:type="dxa"/>
            <w:tcBorders>
              <w:top w:val="nil"/>
              <w:left w:val="nil"/>
              <w:bottom w:val="single" w:sz="4" w:space="0" w:color="auto"/>
              <w:right w:val="single" w:sz="4" w:space="0" w:color="auto"/>
            </w:tcBorders>
            <w:shd w:val="clear" w:color="auto" w:fill="auto"/>
            <w:noWrap/>
            <w:vAlign w:val="bottom"/>
            <w:hideMark/>
          </w:tcPr>
          <w:p w14:paraId="7940345A"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56ADD"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817807"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672EC"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r>
      <w:tr w:rsidR="00525916" w:rsidRPr="006869FB" w14:paraId="030D05CB"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924D88C"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External resources (insert name)</w:t>
            </w:r>
          </w:p>
        </w:tc>
        <w:tc>
          <w:tcPr>
            <w:tcW w:w="960" w:type="dxa"/>
            <w:tcBorders>
              <w:top w:val="nil"/>
              <w:left w:val="nil"/>
              <w:bottom w:val="single" w:sz="4" w:space="0" w:color="auto"/>
              <w:right w:val="single" w:sz="4" w:space="0" w:color="auto"/>
            </w:tcBorders>
            <w:shd w:val="clear" w:color="auto" w:fill="auto"/>
            <w:noWrap/>
            <w:vAlign w:val="bottom"/>
            <w:hideMark/>
          </w:tcPr>
          <w:p w14:paraId="090CF10D"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8282F"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A7037"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2F98FC"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r>
      <w:tr w:rsidR="00525916" w:rsidRPr="006869FB" w14:paraId="71B14A6E"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5A3F52B"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External resources (insert name)</w:t>
            </w:r>
          </w:p>
        </w:tc>
        <w:tc>
          <w:tcPr>
            <w:tcW w:w="960" w:type="dxa"/>
            <w:tcBorders>
              <w:top w:val="nil"/>
              <w:left w:val="nil"/>
              <w:bottom w:val="single" w:sz="4" w:space="0" w:color="auto"/>
              <w:right w:val="single" w:sz="4" w:space="0" w:color="auto"/>
            </w:tcBorders>
            <w:shd w:val="clear" w:color="auto" w:fill="auto"/>
            <w:noWrap/>
            <w:vAlign w:val="bottom"/>
            <w:hideMark/>
          </w:tcPr>
          <w:p w14:paraId="2E279A65"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ADF05"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2AA3D8"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C9E49"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 </w:t>
            </w:r>
          </w:p>
        </w:tc>
      </w:tr>
      <w:tr w:rsidR="00525916" w:rsidRPr="006869FB" w14:paraId="47B37CE0" w14:textId="77777777" w:rsidTr="0052591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9815E2A" w14:textId="77777777" w:rsidR="00525916" w:rsidRPr="006869FB" w:rsidRDefault="00525916" w:rsidP="0020756E">
            <w:pPr>
              <w:spacing w:before="120"/>
              <w:rPr>
                <w:rFonts w:ascii="Arial" w:hAnsi="Arial" w:cs="Arial"/>
                <w:color w:val="000000"/>
                <w:sz w:val="20"/>
                <w:szCs w:val="20"/>
              </w:rPr>
            </w:pPr>
            <w:r w:rsidRPr="006869FB">
              <w:rPr>
                <w:rFonts w:ascii="Arial" w:hAnsi="Arial" w:cs="Arial"/>
                <w:color w:val="000000"/>
                <w:sz w:val="20"/>
                <w:szCs w:val="20"/>
              </w:rPr>
              <w:t>Financial gap</w:t>
            </w:r>
          </w:p>
        </w:tc>
        <w:tc>
          <w:tcPr>
            <w:tcW w:w="960" w:type="dxa"/>
            <w:tcBorders>
              <w:top w:val="nil"/>
              <w:left w:val="nil"/>
              <w:bottom w:val="single" w:sz="4" w:space="0" w:color="auto"/>
              <w:right w:val="single" w:sz="4" w:space="0" w:color="auto"/>
            </w:tcBorders>
            <w:shd w:val="clear" w:color="auto" w:fill="auto"/>
            <w:noWrap/>
            <w:vAlign w:val="bottom"/>
            <w:hideMark/>
          </w:tcPr>
          <w:p w14:paraId="0A294C51" w14:textId="77777777" w:rsidR="00525916" w:rsidRPr="006869FB" w:rsidRDefault="00525916" w:rsidP="0020756E">
            <w:pPr>
              <w:spacing w:before="120"/>
              <w:jc w:val="right"/>
              <w:rPr>
                <w:rFonts w:ascii="Arial" w:hAnsi="Arial" w:cs="Arial"/>
                <w:color w:val="000000"/>
                <w:sz w:val="20"/>
                <w:szCs w:val="20"/>
              </w:rPr>
            </w:pPr>
            <w:r w:rsidRPr="006869FB">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D616530" w14:textId="77777777" w:rsidR="00525916" w:rsidRPr="006869FB" w:rsidRDefault="00525916" w:rsidP="0020756E">
            <w:pPr>
              <w:spacing w:before="120"/>
              <w:jc w:val="right"/>
              <w:rPr>
                <w:rFonts w:ascii="Arial" w:hAnsi="Arial" w:cs="Arial"/>
                <w:color w:val="000000"/>
                <w:sz w:val="20"/>
                <w:szCs w:val="20"/>
              </w:rPr>
            </w:pPr>
            <w:r w:rsidRPr="006869FB">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C73D142" w14:textId="77777777" w:rsidR="00525916" w:rsidRPr="006869FB" w:rsidRDefault="00525916" w:rsidP="0020756E">
            <w:pPr>
              <w:spacing w:before="120"/>
              <w:jc w:val="right"/>
              <w:rPr>
                <w:rFonts w:ascii="Arial" w:hAnsi="Arial" w:cs="Arial"/>
                <w:color w:val="000000"/>
                <w:sz w:val="20"/>
                <w:szCs w:val="20"/>
              </w:rPr>
            </w:pPr>
            <w:r w:rsidRPr="006869FB">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22F9D55" w14:textId="77777777" w:rsidR="00525916" w:rsidRPr="006869FB" w:rsidRDefault="00525916" w:rsidP="0020756E">
            <w:pPr>
              <w:spacing w:before="120"/>
              <w:jc w:val="right"/>
              <w:rPr>
                <w:rFonts w:ascii="Arial" w:hAnsi="Arial" w:cs="Arial"/>
                <w:color w:val="000000"/>
                <w:sz w:val="20"/>
                <w:szCs w:val="20"/>
              </w:rPr>
            </w:pPr>
            <w:r w:rsidRPr="006869FB">
              <w:rPr>
                <w:rFonts w:ascii="Arial" w:hAnsi="Arial" w:cs="Arial"/>
                <w:color w:val="000000"/>
                <w:sz w:val="20"/>
                <w:szCs w:val="20"/>
              </w:rPr>
              <w:t>0</w:t>
            </w:r>
          </w:p>
        </w:tc>
      </w:tr>
    </w:tbl>
    <w:p w14:paraId="309A915E" w14:textId="77777777" w:rsidR="009245CA" w:rsidRPr="006869FB" w:rsidRDefault="009245CA" w:rsidP="0020756E">
      <w:pPr>
        <w:spacing w:before="120"/>
        <w:rPr>
          <w:rFonts w:ascii="Arial" w:hAnsi="Arial" w:cs="Arial"/>
          <w:sz w:val="20"/>
          <w:szCs w:val="20"/>
        </w:rPr>
      </w:pPr>
    </w:p>
    <w:sectPr w:rsidR="009245CA" w:rsidRPr="006869F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B911" w14:textId="77777777" w:rsidR="00A55FAB" w:rsidRDefault="00A55FAB" w:rsidP="00707308">
      <w:r>
        <w:separator/>
      </w:r>
    </w:p>
  </w:endnote>
  <w:endnote w:type="continuationSeparator" w:id="0">
    <w:p w14:paraId="6C3DDF7B" w14:textId="77777777" w:rsidR="00A55FAB" w:rsidRDefault="00A55FAB" w:rsidP="007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73780"/>
      <w:docPartObj>
        <w:docPartGallery w:val="Page Numbers (Bottom of Page)"/>
        <w:docPartUnique/>
      </w:docPartObj>
    </w:sdtPr>
    <w:sdtEndPr>
      <w:rPr>
        <w:noProof/>
      </w:rPr>
    </w:sdtEndPr>
    <w:sdtContent>
      <w:p w14:paraId="00BBC7F3" w14:textId="2C4D4F9A" w:rsidR="005D2ED1" w:rsidRDefault="005D2ED1">
        <w:pPr>
          <w:pStyle w:val="Footer"/>
          <w:jc w:val="right"/>
        </w:pPr>
        <w:r>
          <w:fldChar w:fldCharType="begin"/>
        </w:r>
        <w:r>
          <w:instrText xml:space="preserve"> PAGE   \* MERGEFORMAT </w:instrText>
        </w:r>
        <w:r>
          <w:fldChar w:fldCharType="separate"/>
        </w:r>
        <w:r w:rsidR="000D02DE">
          <w:rPr>
            <w:noProof/>
          </w:rPr>
          <w:t>1</w:t>
        </w:r>
        <w:r>
          <w:rPr>
            <w:noProof/>
          </w:rPr>
          <w:fldChar w:fldCharType="end"/>
        </w:r>
      </w:p>
    </w:sdtContent>
  </w:sdt>
  <w:p w14:paraId="3EF25C51" w14:textId="77777777" w:rsidR="005D2ED1" w:rsidRDefault="005D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227E" w14:textId="77777777" w:rsidR="00A55FAB" w:rsidRDefault="00A55FAB" w:rsidP="00707308">
      <w:r>
        <w:separator/>
      </w:r>
    </w:p>
  </w:footnote>
  <w:footnote w:type="continuationSeparator" w:id="0">
    <w:p w14:paraId="4E988AE4" w14:textId="77777777" w:rsidR="00A55FAB" w:rsidRDefault="00A55FAB" w:rsidP="00707308">
      <w:r>
        <w:continuationSeparator/>
      </w:r>
    </w:p>
  </w:footnote>
  <w:footnote w:id="1">
    <w:p w14:paraId="5147CD8C" w14:textId="651306D6" w:rsidR="005B7C0A" w:rsidRPr="005B7C0A" w:rsidRDefault="005B7C0A">
      <w:pPr>
        <w:pStyle w:val="FootnoteText"/>
        <w:rPr>
          <w:lang w:val="en-US"/>
        </w:rPr>
      </w:pPr>
      <w:r>
        <w:rPr>
          <w:rStyle w:val="FootnoteReference"/>
        </w:rPr>
        <w:footnoteRef/>
      </w:r>
      <w:r>
        <w:t xml:space="preserve"> </w:t>
      </w:r>
      <w:r>
        <w:rPr>
          <w:lang w:val="en-US"/>
        </w:rPr>
        <w:t>SMART – Specific Measurable Achievable Relevant Time-bound</w:t>
      </w:r>
    </w:p>
  </w:footnote>
  <w:footnote w:id="2">
    <w:p w14:paraId="1968E8BC" w14:textId="1B2EBA96" w:rsidR="005D2ED1" w:rsidRPr="005048E7" w:rsidRDefault="005D2ED1" w:rsidP="005048E7">
      <w:pPr>
        <w:rPr>
          <w:rFonts w:asciiTheme="majorHAnsi" w:eastAsia="Calibri" w:hAnsiTheme="majorHAnsi" w:cs="Arial"/>
          <w:sz w:val="18"/>
          <w:szCs w:val="20"/>
        </w:rPr>
      </w:pPr>
      <w:r>
        <w:rPr>
          <w:rStyle w:val="FootnoteReference"/>
        </w:rPr>
        <w:footnoteRef/>
      </w:r>
      <w:r>
        <w:t xml:space="preserve"> For GF sourcing information see: </w:t>
      </w:r>
      <w:r w:rsidRPr="005048E7">
        <w:rPr>
          <w:rFonts w:asciiTheme="majorHAnsi" w:eastAsia="Calibri" w:hAnsiTheme="majorHAnsi" w:cs="Arial"/>
          <w:sz w:val="18"/>
          <w:szCs w:val="20"/>
        </w:rPr>
        <w:t xml:space="preserve">ACTs: </w:t>
      </w:r>
      <w:hyperlink r:id="rId1" w:history="1">
        <w:r w:rsidRPr="005048E7">
          <w:rPr>
            <w:rFonts w:asciiTheme="majorHAnsi" w:eastAsia="Calibri" w:hAnsiTheme="majorHAnsi" w:cs="Arial"/>
            <w:sz w:val="18"/>
            <w:szCs w:val="20"/>
          </w:rPr>
          <w:t>http://www.theglobalfund.org/en/sourcing/acts/</w:t>
        </w:r>
      </w:hyperlink>
      <w:r>
        <w:rPr>
          <w:rFonts w:asciiTheme="majorHAnsi" w:eastAsia="Calibri" w:hAnsiTheme="majorHAnsi" w:cs="Arial"/>
          <w:sz w:val="18"/>
          <w:szCs w:val="20"/>
        </w:rPr>
        <w:t xml:space="preserve"> </w:t>
      </w:r>
    </w:p>
    <w:p w14:paraId="28681647" w14:textId="05AC401C" w:rsidR="005D2ED1" w:rsidRPr="005048E7" w:rsidRDefault="001E2F1D" w:rsidP="005048E7">
      <w:pPr>
        <w:pStyle w:val="FootnoteText"/>
        <w:rPr>
          <w:lang w:val="en-US"/>
        </w:rPr>
      </w:pPr>
      <w:r>
        <w:rPr>
          <w:rFonts w:asciiTheme="majorHAnsi" w:hAnsiTheme="majorHAnsi"/>
          <w:sz w:val="18"/>
          <w:lang w:val="en-US"/>
        </w:rPr>
        <w:t>ITN</w:t>
      </w:r>
      <w:r w:rsidR="005D2ED1" w:rsidRPr="005048E7">
        <w:rPr>
          <w:rFonts w:asciiTheme="majorHAnsi" w:hAnsiTheme="majorHAnsi"/>
          <w:sz w:val="18"/>
          <w:lang w:val="en-US"/>
        </w:rPr>
        <w:t xml:space="preserve">s: </w:t>
      </w:r>
      <w:hyperlink r:id="rId2" w:history="1">
        <w:r w:rsidR="005D2ED1" w:rsidRPr="005048E7">
          <w:rPr>
            <w:rFonts w:asciiTheme="majorHAnsi" w:hAnsiTheme="majorHAnsi"/>
            <w:sz w:val="18"/>
            <w:lang w:val="en-US"/>
          </w:rPr>
          <w:t>http://www.theglobalfund.org/en/sourcing/</w:t>
        </w:r>
        <w:r>
          <w:rPr>
            <w:rFonts w:asciiTheme="majorHAnsi" w:hAnsiTheme="majorHAnsi"/>
            <w:sz w:val="18"/>
            <w:lang w:val="en-US"/>
          </w:rPr>
          <w:t>ITN</w:t>
        </w:r>
        <w:r w:rsidR="005D2ED1" w:rsidRPr="005048E7">
          <w:rPr>
            <w:rFonts w:asciiTheme="majorHAnsi" w:hAnsiTheme="majorHAnsi"/>
            <w:sz w:val="18"/>
            <w:lang w:val="en-US"/>
          </w:rPr>
          <w: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5EC" w14:textId="014AB881" w:rsidR="005D2ED1" w:rsidRDefault="00B74B25">
    <w:pPr>
      <w:pStyle w:val="Header"/>
    </w:pPr>
    <w:r>
      <w:rPr>
        <w:noProof/>
      </w:rPr>
      <w:drawing>
        <wp:anchor distT="0" distB="0" distL="114300" distR="114300" simplePos="0" relativeHeight="251659264" behindDoc="1" locked="0" layoutInCell="1" allowOverlap="1" wp14:anchorId="7DF9A7C7" wp14:editId="236A2313">
          <wp:simplePos x="0" y="0"/>
          <wp:positionH relativeFrom="column">
            <wp:posOffset>210820</wp:posOffset>
          </wp:positionH>
          <wp:positionV relativeFrom="paragraph">
            <wp:posOffset>-267335</wp:posOffset>
          </wp:positionV>
          <wp:extent cx="1474470" cy="554990"/>
          <wp:effectExtent l="0" t="0" r="0" b="0"/>
          <wp:wrapTight wrapText="bothSides">
            <wp:wrapPolygon edited="0">
              <wp:start x="0" y="0"/>
              <wp:lineTo x="0" y="20760"/>
              <wp:lineTo x="21209" y="20760"/>
              <wp:lineTo x="212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5549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1533B9F" wp14:editId="56EA3EDC">
          <wp:simplePos x="0" y="0"/>
          <wp:positionH relativeFrom="column">
            <wp:posOffset>4164965</wp:posOffset>
          </wp:positionH>
          <wp:positionV relativeFrom="paragraph">
            <wp:posOffset>-113665</wp:posOffset>
          </wp:positionV>
          <wp:extent cx="1104265" cy="391795"/>
          <wp:effectExtent l="0" t="0" r="635" b="8255"/>
          <wp:wrapTight wrapText="bothSides">
            <wp:wrapPolygon edited="0">
              <wp:start x="0" y="0"/>
              <wp:lineTo x="0" y="21005"/>
              <wp:lineTo x="21240" y="21005"/>
              <wp:lineTo x="21240" y="10502"/>
              <wp:lineTo x="6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391795"/>
                  </a:xfrm>
                  <a:prstGeom prst="rect">
                    <a:avLst/>
                  </a:prstGeom>
                  <a:noFill/>
                </pic:spPr>
              </pic:pic>
            </a:graphicData>
          </a:graphic>
          <wp14:sizeRelH relativeFrom="margin">
            <wp14:pctWidth>0</wp14:pctWidth>
          </wp14:sizeRelH>
          <wp14:sizeRelV relativeFrom="margin">
            <wp14:pctHeight>0</wp14:pctHeight>
          </wp14:sizeRelV>
        </wp:anchor>
      </w:drawing>
    </w:r>
  </w:p>
  <w:p w14:paraId="634C6F6D" w14:textId="60EDE0C8" w:rsidR="005D2ED1" w:rsidRDefault="00B74B25">
    <w:pPr>
      <w:pStyle w:val="Header"/>
    </w:pPr>
    <w:r>
      <w:rPr>
        <w:noProof/>
      </w:rPr>
      <mc:AlternateContent>
        <mc:Choice Requires="wps">
          <w:drawing>
            <wp:anchor distT="0" distB="0" distL="114300" distR="114300" simplePos="0" relativeHeight="251660288" behindDoc="0" locked="0" layoutInCell="1" allowOverlap="1" wp14:anchorId="20D53199" wp14:editId="74E3ADA5">
              <wp:simplePos x="0" y="0"/>
              <wp:positionH relativeFrom="column">
                <wp:posOffset>-36999</wp:posOffset>
              </wp:positionH>
              <wp:positionV relativeFrom="paragraph">
                <wp:posOffset>218513</wp:posOffset>
              </wp:positionV>
              <wp:extent cx="602552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55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14E2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pt,17.2pt" to="47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C3A"/>
    <w:multiLevelType w:val="hybridMultilevel"/>
    <w:tmpl w:val="C4848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E344A"/>
    <w:multiLevelType w:val="hybridMultilevel"/>
    <w:tmpl w:val="8B5AA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73694"/>
    <w:multiLevelType w:val="hybridMultilevel"/>
    <w:tmpl w:val="F33E4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D10BF"/>
    <w:multiLevelType w:val="hybridMultilevel"/>
    <w:tmpl w:val="E8B891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77E13"/>
    <w:multiLevelType w:val="hybridMultilevel"/>
    <w:tmpl w:val="94A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10929"/>
    <w:multiLevelType w:val="multilevel"/>
    <w:tmpl w:val="C86EE27A"/>
    <w:lvl w:ilvl="0">
      <w:start w:val="1"/>
      <w:numFmt w:val="bullet"/>
      <w:lvlText w:val=""/>
      <w:lvlJc w:val="left"/>
      <w:pPr>
        <w:ind w:left="72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256F3E0F"/>
    <w:multiLevelType w:val="hybridMultilevel"/>
    <w:tmpl w:val="30D83E34"/>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91EDD"/>
    <w:multiLevelType w:val="hybridMultilevel"/>
    <w:tmpl w:val="C7FC9F38"/>
    <w:lvl w:ilvl="0" w:tplc="967A3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B5F77"/>
    <w:multiLevelType w:val="hybridMultilevel"/>
    <w:tmpl w:val="2972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2066A"/>
    <w:multiLevelType w:val="hybridMultilevel"/>
    <w:tmpl w:val="5344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97396"/>
    <w:multiLevelType w:val="hybridMultilevel"/>
    <w:tmpl w:val="1CFE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F768D"/>
    <w:multiLevelType w:val="multilevel"/>
    <w:tmpl w:val="A2E231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CEF7C54"/>
    <w:multiLevelType w:val="hybridMultilevel"/>
    <w:tmpl w:val="B43046C8"/>
    <w:lvl w:ilvl="0" w:tplc="F8602230">
      <w:start w:val="1"/>
      <w:numFmt w:val="bullet"/>
      <w:lvlText w:val=""/>
      <w:lvlJc w:val="left"/>
      <w:pPr>
        <w:tabs>
          <w:tab w:val="num" w:pos="1004"/>
        </w:tabs>
        <w:ind w:left="1004" w:hanging="360"/>
      </w:pPr>
      <w:rPr>
        <w:rFonts w:ascii="Symbol" w:hAnsi="Symbol" w:hint="default"/>
        <w:sz w:val="20"/>
        <w:szCs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D7C332D"/>
    <w:multiLevelType w:val="hybridMultilevel"/>
    <w:tmpl w:val="466C0FE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0706A9"/>
    <w:multiLevelType w:val="hybridMultilevel"/>
    <w:tmpl w:val="500A1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470B9"/>
    <w:multiLevelType w:val="hybridMultilevel"/>
    <w:tmpl w:val="6F04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3409857">
    <w:abstractNumId w:val="8"/>
  </w:num>
  <w:num w:numId="2" w16cid:durableId="1395474038">
    <w:abstractNumId w:val="14"/>
  </w:num>
  <w:num w:numId="3" w16cid:durableId="1608538536">
    <w:abstractNumId w:val="3"/>
  </w:num>
  <w:num w:numId="4" w16cid:durableId="101384995">
    <w:abstractNumId w:val="11"/>
  </w:num>
  <w:num w:numId="5" w16cid:durableId="170804278">
    <w:abstractNumId w:val="1"/>
  </w:num>
  <w:num w:numId="6" w16cid:durableId="1472076">
    <w:abstractNumId w:val="2"/>
  </w:num>
  <w:num w:numId="7" w16cid:durableId="1843084629">
    <w:abstractNumId w:val="0"/>
  </w:num>
  <w:num w:numId="8" w16cid:durableId="2102604046">
    <w:abstractNumId w:val="7"/>
  </w:num>
  <w:num w:numId="9" w16cid:durableId="1739593754">
    <w:abstractNumId w:val="12"/>
  </w:num>
  <w:num w:numId="10" w16cid:durableId="470099363">
    <w:abstractNumId w:val="10"/>
  </w:num>
  <w:num w:numId="11" w16cid:durableId="674723257">
    <w:abstractNumId w:val="15"/>
  </w:num>
  <w:num w:numId="12" w16cid:durableId="180170463">
    <w:abstractNumId w:val="5"/>
  </w:num>
  <w:num w:numId="13" w16cid:durableId="1524900476">
    <w:abstractNumId w:val="4"/>
  </w:num>
  <w:num w:numId="14" w16cid:durableId="845560791">
    <w:abstractNumId w:val="6"/>
  </w:num>
  <w:num w:numId="15" w16cid:durableId="201982523">
    <w:abstractNumId w:val="13"/>
  </w:num>
  <w:num w:numId="16" w16cid:durableId="600839715">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712525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26"/>
    <w:rsid w:val="00001D8D"/>
    <w:rsid w:val="00002729"/>
    <w:rsid w:val="000053AB"/>
    <w:rsid w:val="00010C82"/>
    <w:rsid w:val="00013755"/>
    <w:rsid w:val="00014122"/>
    <w:rsid w:val="00017BBC"/>
    <w:rsid w:val="00022AF3"/>
    <w:rsid w:val="0002780D"/>
    <w:rsid w:val="00032F1C"/>
    <w:rsid w:val="00036718"/>
    <w:rsid w:val="0004174B"/>
    <w:rsid w:val="00044223"/>
    <w:rsid w:val="0004459B"/>
    <w:rsid w:val="00045A48"/>
    <w:rsid w:val="00050A71"/>
    <w:rsid w:val="000518E3"/>
    <w:rsid w:val="0005321A"/>
    <w:rsid w:val="000545D1"/>
    <w:rsid w:val="000556EA"/>
    <w:rsid w:val="00060140"/>
    <w:rsid w:val="00061F7E"/>
    <w:rsid w:val="00063AD8"/>
    <w:rsid w:val="00066CD9"/>
    <w:rsid w:val="00080B49"/>
    <w:rsid w:val="000935C6"/>
    <w:rsid w:val="00095E15"/>
    <w:rsid w:val="000976AC"/>
    <w:rsid w:val="000A56CF"/>
    <w:rsid w:val="000B1730"/>
    <w:rsid w:val="000B2654"/>
    <w:rsid w:val="000B3F6D"/>
    <w:rsid w:val="000D02DE"/>
    <w:rsid w:val="000D21FB"/>
    <w:rsid w:val="000E33E2"/>
    <w:rsid w:val="000E376C"/>
    <w:rsid w:val="000E4D49"/>
    <w:rsid w:val="000F6493"/>
    <w:rsid w:val="0010254E"/>
    <w:rsid w:val="00103C94"/>
    <w:rsid w:val="0011320B"/>
    <w:rsid w:val="00121503"/>
    <w:rsid w:val="00126139"/>
    <w:rsid w:val="001304B2"/>
    <w:rsid w:val="0013318D"/>
    <w:rsid w:val="00134906"/>
    <w:rsid w:val="0013687E"/>
    <w:rsid w:val="0014163E"/>
    <w:rsid w:val="00146FB3"/>
    <w:rsid w:val="0015452E"/>
    <w:rsid w:val="00163021"/>
    <w:rsid w:val="00170D46"/>
    <w:rsid w:val="00170FF8"/>
    <w:rsid w:val="00171AA9"/>
    <w:rsid w:val="0017334D"/>
    <w:rsid w:val="001752B5"/>
    <w:rsid w:val="001826BA"/>
    <w:rsid w:val="00187B0B"/>
    <w:rsid w:val="00192E17"/>
    <w:rsid w:val="00193F42"/>
    <w:rsid w:val="001A096A"/>
    <w:rsid w:val="001A20B5"/>
    <w:rsid w:val="001C661B"/>
    <w:rsid w:val="001C677A"/>
    <w:rsid w:val="001D1C53"/>
    <w:rsid w:val="001E2F1D"/>
    <w:rsid w:val="001E584A"/>
    <w:rsid w:val="001E72A3"/>
    <w:rsid w:val="001F1AAF"/>
    <w:rsid w:val="00206C40"/>
    <w:rsid w:val="0020756E"/>
    <w:rsid w:val="002133CE"/>
    <w:rsid w:val="002151E1"/>
    <w:rsid w:val="00223609"/>
    <w:rsid w:val="00231B1C"/>
    <w:rsid w:val="002379E2"/>
    <w:rsid w:val="00240422"/>
    <w:rsid w:val="00242529"/>
    <w:rsid w:val="00242F49"/>
    <w:rsid w:val="002447AC"/>
    <w:rsid w:val="002511DB"/>
    <w:rsid w:val="002529C6"/>
    <w:rsid w:val="00260FC1"/>
    <w:rsid w:val="002618CF"/>
    <w:rsid w:val="0027717C"/>
    <w:rsid w:val="00290878"/>
    <w:rsid w:val="002917C6"/>
    <w:rsid w:val="002B1E65"/>
    <w:rsid w:val="002C5BAD"/>
    <w:rsid w:val="002D3901"/>
    <w:rsid w:val="002D551C"/>
    <w:rsid w:val="002D739A"/>
    <w:rsid w:val="002F048D"/>
    <w:rsid w:val="002F1512"/>
    <w:rsid w:val="002F586B"/>
    <w:rsid w:val="00300E73"/>
    <w:rsid w:val="003021C1"/>
    <w:rsid w:val="00306124"/>
    <w:rsid w:val="00307774"/>
    <w:rsid w:val="0031465A"/>
    <w:rsid w:val="00322460"/>
    <w:rsid w:val="00325CD5"/>
    <w:rsid w:val="00330C6C"/>
    <w:rsid w:val="00336E53"/>
    <w:rsid w:val="003379C1"/>
    <w:rsid w:val="0034572F"/>
    <w:rsid w:val="00351497"/>
    <w:rsid w:val="00352A7B"/>
    <w:rsid w:val="00362A3A"/>
    <w:rsid w:val="00364C6D"/>
    <w:rsid w:val="00381D51"/>
    <w:rsid w:val="00383E89"/>
    <w:rsid w:val="00384F38"/>
    <w:rsid w:val="00391E6D"/>
    <w:rsid w:val="00392532"/>
    <w:rsid w:val="00396A18"/>
    <w:rsid w:val="003B5C4E"/>
    <w:rsid w:val="003C20AB"/>
    <w:rsid w:val="003D1A5D"/>
    <w:rsid w:val="003E0DC7"/>
    <w:rsid w:val="003E5DA1"/>
    <w:rsid w:val="003F043E"/>
    <w:rsid w:val="003F50EA"/>
    <w:rsid w:val="004006B4"/>
    <w:rsid w:val="004036F7"/>
    <w:rsid w:val="00406285"/>
    <w:rsid w:val="00414321"/>
    <w:rsid w:val="004204FF"/>
    <w:rsid w:val="004206B4"/>
    <w:rsid w:val="00426FB3"/>
    <w:rsid w:val="00441A15"/>
    <w:rsid w:val="00452CFA"/>
    <w:rsid w:val="00456A7F"/>
    <w:rsid w:val="0046077D"/>
    <w:rsid w:val="00461CB6"/>
    <w:rsid w:val="00472176"/>
    <w:rsid w:val="00476874"/>
    <w:rsid w:val="00476FAC"/>
    <w:rsid w:val="0047758D"/>
    <w:rsid w:val="00486E99"/>
    <w:rsid w:val="004930F4"/>
    <w:rsid w:val="00494789"/>
    <w:rsid w:val="004960D1"/>
    <w:rsid w:val="004A1F0D"/>
    <w:rsid w:val="004A285D"/>
    <w:rsid w:val="004B1F69"/>
    <w:rsid w:val="004B3128"/>
    <w:rsid w:val="004B655B"/>
    <w:rsid w:val="004C4DC7"/>
    <w:rsid w:val="004D2DD2"/>
    <w:rsid w:val="004D41A7"/>
    <w:rsid w:val="004D7356"/>
    <w:rsid w:val="004E6363"/>
    <w:rsid w:val="004F7284"/>
    <w:rsid w:val="0050376D"/>
    <w:rsid w:val="005048E7"/>
    <w:rsid w:val="00506DF0"/>
    <w:rsid w:val="00522D80"/>
    <w:rsid w:val="00525023"/>
    <w:rsid w:val="005250D9"/>
    <w:rsid w:val="00525916"/>
    <w:rsid w:val="005274A9"/>
    <w:rsid w:val="0053632F"/>
    <w:rsid w:val="00541ABF"/>
    <w:rsid w:val="00543789"/>
    <w:rsid w:val="00551081"/>
    <w:rsid w:val="00556287"/>
    <w:rsid w:val="00561FCB"/>
    <w:rsid w:val="00571EAF"/>
    <w:rsid w:val="00572C02"/>
    <w:rsid w:val="005810C5"/>
    <w:rsid w:val="00583C9D"/>
    <w:rsid w:val="005843F1"/>
    <w:rsid w:val="00584800"/>
    <w:rsid w:val="005A39CA"/>
    <w:rsid w:val="005A71FE"/>
    <w:rsid w:val="005B0B5D"/>
    <w:rsid w:val="005B37B3"/>
    <w:rsid w:val="005B7C0A"/>
    <w:rsid w:val="005C1E38"/>
    <w:rsid w:val="005C474E"/>
    <w:rsid w:val="005C5652"/>
    <w:rsid w:val="005D2ED1"/>
    <w:rsid w:val="005D500D"/>
    <w:rsid w:val="005D61F3"/>
    <w:rsid w:val="005E0FE5"/>
    <w:rsid w:val="005E1582"/>
    <w:rsid w:val="005F0B4B"/>
    <w:rsid w:val="005F2972"/>
    <w:rsid w:val="0060054C"/>
    <w:rsid w:val="00603BA0"/>
    <w:rsid w:val="00613CE2"/>
    <w:rsid w:val="00620700"/>
    <w:rsid w:val="00623B1A"/>
    <w:rsid w:val="006275D0"/>
    <w:rsid w:val="00636632"/>
    <w:rsid w:val="006411C4"/>
    <w:rsid w:val="00644FE3"/>
    <w:rsid w:val="00652048"/>
    <w:rsid w:val="00661E6D"/>
    <w:rsid w:val="00663A68"/>
    <w:rsid w:val="00663C39"/>
    <w:rsid w:val="00665560"/>
    <w:rsid w:val="006869FB"/>
    <w:rsid w:val="006913AA"/>
    <w:rsid w:val="00693AD1"/>
    <w:rsid w:val="0069619D"/>
    <w:rsid w:val="006A03A3"/>
    <w:rsid w:val="006A6518"/>
    <w:rsid w:val="006B0D79"/>
    <w:rsid w:val="006B1EF7"/>
    <w:rsid w:val="006B6D5C"/>
    <w:rsid w:val="006C0B72"/>
    <w:rsid w:val="006C438D"/>
    <w:rsid w:val="006D50DC"/>
    <w:rsid w:val="006E12ED"/>
    <w:rsid w:val="006E5B52"/>
    <w:rsid w:val="006F2A0A"/>
    <w:rsid w:val="006F30A4"/>
    <w:rsid w:val="006F4480"/>
    <w:rsid w:val="006F55FF"/>
    <w:rsid w:val="006F7A44"/>
    <w:rsid w:val="00705A72"/>
    <w:rsid w:val="00707308"/>
    <w:rsid w:val="00722E16"/>
    <w:rsid w:val="00723D2E"/>
    <w:rsid w:val="00724101"/>
    <w:rsid w:val="00724FF7"/>
    <w:rsid w:val="00735824"/>
    <w:rsid w:val="007438ED"/>
    <w:rsid w:val="00744825"/>
    <w:rsid w:val="00752778"/>
    <w:rsid w:val="007623EC"/>
    <w:rsid w:val="00763BAE"/>
    <w:rsid w:val="00771AD7"/>
    <w:rsid w:val="00777E40"/>
    <w:rsid w:val="00783AA2"/>
    <w:rsid w:val="0078592C"/>
    <w:rsid w:val="00787C4A"/>
    <w:rsid w:val="007A03D3"/>
    <w:rsid w:val="007A3CD0"/>
    <w:rsid w:val="007A648F"/>
    <w:rsid w:val="007A7518"/>
    <w:rsid w:val="007B272B"/>
    <w:rsid w:val="007B348F"/>
    <w:rsid w:val="007B4B0A"/>
    <w:rsid w:val="007C0869"/>
    <w:rsid w:val="007C1BF2"/>
    <w:rsid w:val="007C67FD"/>
    <w:rsid w:val="007C7A37"/>
    <w:rsid w:val="007D46C2"/>
    <w:rsid w:val="007D5468"/>
    <w:rsid w:val="007E15EB"/>
    <w:rsid w:val="007E40E4"/>
    <w:rsid w:val="007F3FB4"/>
    <w:rsid w:val="00817F5E"/>
    <w:rsid w:val="008220C2"/>
    <w:rsid w:val="00822FBB"/>
    <w:rsid w:val="00827EFB"/>
    <w:rsid w:val="00827FD2"/>
    <w:rsid w:val="00830A78"/>
    <w:rsid w:val="00831C03"/>
    <w:rsid w:val="0083524E"/>
    <w:rsid w:val="0083728E"/>
    <w:rsid w:val="00844AE3"/>
    <w:rsid w:val="00847768"/>
    <w:rsid w:val="00850C27"/>
    <w:rsid w:val="00862750"/>
    <w:rsid w:val="00863305"/>
    <w:rsid w:val="00864E70"/>
    <w:rsid w:val="00873E03"/>
    <w:rsid w:val="00880F3A"/>
    <w:rsid w:val="0088477B"/>
    <w:rsid w:val="00885952"/>
    <w:rsid w:val="008A0431"/>
    <w:rsid w:val="008A79EA"/>
    <w:rsid w:val="008B02AA"/>
    <w:rsid w:val="008B55CC"/>
    <w:rsid w:val="008C2327"/>
    <w:rsid w:val="008D6502"/>
    <w:rsid w:val="008E5F12"/>
    <w:rsid w:val="008E7065"/>
    <w:rsid w:val="008F2B2F"/>
    <w:rsid w:val="00901E34"/>
    <w:rsid w:val="00902194"/>
    <w:rsid w:val="00907362"/>
    <w:rsid w:val="00913E3F"/>
    <w:rsid w:val="009215F6"/>
    <w:rsid w:val="009245CA"/>
    <w:rsid w:val="00941864"/>
    <w:rsid w:val="00943F64"/>
    <w:rsid w:val="00957F67"/>
    <w:rsid w:val="009641D7"/>
    <w:rsid w:val="00964B91"/>
    <w:rsid w:val="00971D63"/>
    <w:rsid w:val="00973D7A"/>
    <w:rsid w:val="0097452F"/>
    <w:rsid w:val="00976035"/>
    <w:rsid w:val="009852A4"/>
    <w:rsid w:val="00986133"/>
    <w:rsid w:val="00990F2D"/>
    <w:rsid w:val="009917C3"/>
    <w:rsid w:val="0099321F"/>
    <w:rsid w:val="009979D8"/>
    <w:rsid w:val="009A1DEA"/>
    <w:rsid w:val="009A30AC"/>
    <w:rsid w:val="009A6995"/>
    <w:rsid w:val="009B5C1E"/>
    <w:rsid w:val="009C207A"/>
    <w:rsid w:val="009D19F7"/>
    <w:rsid w:val="009E2AC9"/>
    <w:rsid w:val="009E680E"/>
    <w:rsid w:val="009E681B"/>
    <w:rsid w:val="009E6878"/>
    <w:rsid w:val="009E7B44"/>
    <w:rsid w:val="009F0BAB"/>
    <w:rsid w:val="009F483B"/>
    <w:rsid w:val="00A004D8"/>
    <w:rsid w:val="00A006AA"/>
    <w:rsid w:val="00A21792"/>
    <w:rsid w:val="00A25870"/>
    <w:rsid w:val="00A2755F"/>
    <w:rsid w:val="00A3384B"/>
    <w:rsid w:val="00A34497"/>
    <w:rsid w:val="00A35EAE"/>
    <w:rsid w:val="00A47CFF"/>
    <w:rsid w:val="00A5145B"/>
    <w:rsid w:val="00A51E43"/>
    <w:rsid w:val="00A55FAB"/>
    <w:rsid w:val="00A606AA"/>
    <w:rsid w:val="00A6629D"/>
    <w:rsid w:val="00A720C4"/>
    <w:rsid w:val="00A74255"/>
    <w:rsid w:val="00A746AB"/>
    <w:rsid w:val="00A765F6"/>
    <w:rsid w:val="00A97C34"/>
    <w:rsid w:val="00AA354B"/>
    <w:rsid w:val="00AA5ECD"/>
    <w:rsid w:val="00AB7A26"/>
    <w:rsid w:val="00AD6DA5"/>
    <w:rsid w:val="00AE0EA7"/>
    <w:rsid w:val="00AE2866"/>
    <w:rsid w:val="00AE3515"/>
    <w:rsid w:val="00AE3D38"/>
    <w:rsid w:val="00AE7FDA"/>
    <w:rsid w:val="00AF1C88"/>
    <w:rsid w:val="00AF21F4"/>
    <w:rsid w:val="00AF423C"/>
    <w:rsid w:val="00AF5561"/>
    <w:rsid w:val="00AF59D3"/>
    <w:rsid w:val="00AF5A98"/>
    <w:rsid w:val="00B05861"/>
    <w:rsid w:val="00B06985"/>
    <w:rsid w:val="00B1084A"/>
    <w:rsid w:val="00B126C0"/>
    <w:rsid w:val="00B14C6D"/>
    <w:rsid w:val="00B22A33"/>
    <w:rsid w:val="00B24DCF"/>
    <w:rsid w:val="00B24EE8"/>
    <w:rsid w:val="00B267E0"/>
    <w:rsid w:val="00B34DA7"/>
    <w:rsid w:val="00B379F2"/>
    <w:rsid w:val="00B40835"/>
    <w:rsid w:val="00B464FB"/>
    <w:rsid w:val="00B5077D"/>
    <w:rsid w:val="00B510F4"/>
    <w:rsid w:val="00B56E8B"/>
    <w:rsid w:val="00B66503"/>
    <w:rsid w:val="00B702DA"/>
    <w:rsid w:val="00B74B25"/>
    <w:rsid w:val="00B7569E"/>
    <w:rsid w:val="00B82DA7"/>
    <w:rsid w:val="00B830EF"/>
    <w:rsid w:val="00B86B72"/>
    <w:rsid w:val="00BA6D35"/>
    <w:rsid w:val="00BC20BC"/>
    <w:rsid w:val="00BC3702"/>
    <w:rsid w:val="00BC62D0"/>
    <w:rsid w:val="00BD5B43"/>
    <w:rsid w:val="00BF3079"/>
    <w:rsid w:val="00C0336F"/>
    <w:rsid w:val="00C06C17"/>
    <w:rsid w:val="00C10E4B"/>
    <w:rsid w:val="00C14EF5"/>
    <w:rsid w:val="00C17591"/>
    <w:rsid w:val="00C23A3A"/>
    <w:rsid w:val="00C24FAF"/>
    <w:rsid w:val="00C24FC1"/>
    <w:rsid w:val="00C42DD9"/>
    <w:rsid w:val="00C436BF"/>
    <w:rsid w:val="00C4527A"/>
    <w:rsid w:val="00C4557C"/>
    <w:rsid w:val="00C54E19"/>
    <w:rsid w:val="00C56A5E"/>
    <w:rsid w:val="00C614DE"/>
    <w:rsid w:val="00C65B90"/>
    <w:rsid w:val="00C67A41"/>
    <w:rsid w:val="00C7132D"/>
    <w:rsid w:val="00C73540"/>
    <w:rsid w:val="00C75361"/>
    <w:rsid w:val="00C82106"/>
    <w:rsid w:val="00C84001"/>
    <w:rsid w:val="00C91176"/>
    <w:rsid w:val="00C9728B"/>
    <w:rsid w:val="00CA0D54"/>
    <w:rsid w:val="00CA1086"/>
    <w:rsid w:val="00CA66FD"/>
    <w:rsid w:val="00CB4D67"/>
    <w:rsid w:val="00CC7FAF"/>
    <w:rsid w:val="00CD0980"/>
    <w:rsid w:val="00CD21E7"/>
    <w:rsid w:val="00CE6B29"/>
    <w:rsid w:val="00CF126C"/>
    <w:rsid w:val="00CF1E68"/>
    <w:rsid w:val="00D00EB7"/>
    <w:rsid w:val="00D06C71"/>
    <w:rsid w:val="00D10746"/>
    <w:rsid w:val="00D1532B"/>
    <w:rsid w:val="00D15994"/>
    <w:rsid w:val="00D22994"/>
    <w:rsid w:val="00D30E5F"/>
    <w:rsid w:val="00D31438"/>
    <w:rsid w:val="00D3572C"/>
    <w:rsid w:val="00D36532"/>
    <w:rsid w:val="00D43D9C"/>
    <w:rsid w:val="00D44BF6"/>
    <w:rsid w:val="00D50FF8"/>
    <w:rsid w:val="00D5152E"/>
    <w:rsid w:val="00D51C9A"/>
    <w:rsid w:val="00D53C52"/>
    <w:rsid w:val="00D54867"/>
    <w:rsid w:val="00D54A13"/>
    <w:rsid w:val="00D54ECB"/>
    <w:rsid w:val="00D62FB4"/>
    <w:rsid w:val="00D6326A"/>
    <w:rsid w:val="00D63703"/>
    <w:rsid w:val="00D823C1"/>
    <w:rsid w:val="00D824DF"/>
    <w:rsid w:val="00D9463F"/>
    <w:rsid w:val="00D95F34"/>
    <w:rsid w:val="00DA37AA"/>
    <w:rsid w:val="00DA3CA5"/>
    <w:rsid w:val="00DA7551"/>
    <w:rsid w:val="00DB2C69"/>
    <w:rsid w:val="00DB46FE"/>
    <w:rsid w:val="00DC3E56"/>
    <w:rsid w:val="00DD3DF2"/>
    <w:rsid w:val="00DD7D0E"/>
    <w:rsid w:val="00E1006A"/>
    <w:rsid w:val="00E1611B"/>
    <w:rsid w:val="00E16FE0"/>
    <w:rsid w:val="00E22CB5"/>
    <w:rsid w:val="00E231C9"/>
    <w:rsid w:val="00E34CFD"/>
    <w:rsid w:val="00E476C0"/>
    <w:rsid w:val="00E47FB5"/>
    <w:rsid w:val="00E51468"/>
    <w:rsid w:val="00E51B40"/>
    <w:rsid w:val="00E51CDE"/>
    <w:rsid w:val="00E52D05"/>
    <w:rsid w:val="00E578AF"/>
    <w:rsid w:val="00E634D1"/>
    <w:rsid w:val="00E65972"/>
    <w:rsid w:val="00E77DF6"/>
    <w:rsid w:val="00E80746"/>
    <w:rsid w:val="00E83B0F"/>
    <w:rsid w:val="00E906B3"/>
    <w:rsid w:val="00E948C8"/>
    <w:rsid w:val="00EB33BD"/>
    <w:rsid w:val="00EC4A6F"/>
    <w:rsid w:val="00ED1BE6"/>
    <w:rsid w:val="00ED62B4"/>
    <w:rsid w:val="00EE1D72"/>
    <w:rsid w:val="00EE5EED"/>
    <w:rsid w:val="00EE7F9C"/>
    <w:rsid w:val="00F00007"/>
    <w:rsid w:val="00F001B6"/>
    <w:rsid w:val="00F00CFF"/>
    <w:rsid w:val="00F019A7"/>
    <w:rsid w:val="00F031F0"/>
    <w:rsid w:val="00F11848"/>
    <w:rsid w:val="00F13790"/>
    <w:rsid w:val="00F13DEF"/>
    <w:rsid w:val="00F13E39"/>
    <w:rsid w:val="00F146C9"/>
    <w:rsid w:val="00F20E7B"/>
    <w:rsid w:val="00F21BCD"/>
    <w:rsid w:val="00F2355C"/>
    <w:rsid w:val="00F23E39"/>
    <w:rsid w:val="00F417A6"/>
    <w:rsid w:val="00F43DCB"/>
    <w:rsid w:val="00F5159A"/>
    <w:rsid w:val="00F52495"/>
    <w:rsid w:val="00F5564D"/>
    <w:rsid w:val="00F571FD"/>
    <w:rsid w:val="00F627F7"/>
    <w:rsid w:val="00F80EEB"/>
    <w:rsid w:val="00F84EBB"/>
    <w:rsid w:val="00F8570E"/>
    <w:rsid w:val="00F85E19"/>
    <w:rsid w:val="00F912EE"/>
    <w:rsid w:val="00F94596"/>
    <w:rsid w:val="00FA1EA8"/>
    <w:rsid w:val="00FB2D00"/>
    <w:rsid w:val="00FB3A13"/>
    <w:rsid w:val="00FB3C97"/>
    <w:rsid w:val="00FB6161"/>
    <w:rsid w:val="00FC2AFA"/>
    <w:rsid w:val="00FC3088"/>
    <w:rsid w:val="00FC4A59"/>
    <w:rsid w:val="00FD1474"/>
    <w:rsid w:val="00FE4868"/>
    <w:rsid w:val="00FE74FD"/>
    <w:rsid w:val="00FF167B"/>
    <w:rsid w:val="00FF385B"/>
    <w:rsid w:val="00FF46F3"/>
    <w:rsid w:val="00FF75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5300"/>
  <w15:docId w15:val="{3548E9D7-52D5-4D68-AF58-E3AD74D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B4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D3"/>
    <w:pPr>
      <w:ind w:left="720"/>
      <w:contextualSpacing/>
    </w:pPr>
  </w:style>
  <w:style w:type="paragraph" w:customStyle="1" w:styleId="Default">
    <w:name w:val="Default"/>
    <w:rsid w:val="00045A48"/>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Header">
    <w:name w:val="header"/>
    <w:basedOn w:val="Normal"/>
    <w:link w:val="HeaderChar"/>
    <w:uiPriority w:val="99"/>
    <w:unhideWhenUsed/>
    <w:rsid w:val="00707308"/>
    <w:pPr>
      <w:tabs>
        <w:tab w:val="center" w:pos="4680"/>
        <w:tab w:val="right" w:pos="9360"/>
      </w:tabs>
    </w:pPr>
  </w:style>
  <w:style w:type="character" w:customStyle="1" w:styleId="HeaderChar">
    <w:name w:val="Header Char"/>
    <w:basedOn w:val="DefaultParagraphFont"/>
    <w:link w:val="Header"/>
    <w:uiPriority w:val="99"/>
    <w:rsid w:val="00707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308"/>
    <w:pPr>
      <w:tabs>
        <w:tab w:val="center" w:pos="4680"/>
        <w:tab w:val="right" w:pos="9360"/>
      </w:tabs>
    </w:pPr>
  </w:style>
  <w:style w:type="character" w:customStyle="1" w:styleId="FooterChar">
    <w:name w:val="Footer Char"/>
    <w:basedOn w:val="DefaultParagraphFont"/>
    <w:link w:val="Footer"/>
    <w:uiPriority w:val="99"/>
    <w:rsid w:val="00707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0EA"/>
    <w:rPr>
      <w:rFonts w:ascii="Tahoma" w:hAnsi="Tahoma" w:cs="Tahoma"/>
      <w:sz w:val="16"/>
      <w:szCs w:val="16"/>
    </w:rPr>
  </w:style>
  <w:style w:type="character" w:customStyle="1" w:styleId="BalloonTextChar">
    <w:name w:val="Balloon Text Char"/>
    <w:basedOn w:val="DefaultParagraphFont"/>
    <w:link w:val="BalloonText"/>
    <w:uiPriority w:val="99"/>
    <w:semiHidden/>
    <w:rsid w:val="003F50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67E0"/>
    <w:rPr>
      <w:sz w:val="16"/>
      <w:szCs w:val="16"/>
    </w:rPr>
  </w:style>
  <w:style w:type="paragraph" w:styleId="CommentText">
    <w:name w:val="annotation text"/>
    <w:basedOn w:val="Normal"/>
    <w:link w:val="CommentTextChar"/>
    <w:uiPriority w:val="99"/>
    <w:unhideWhenUsed/>
    <w:rsid w:val="00B267E0"/>
    <w:rPr>
      <w:sz w:val="20"/>
      <w:szCs w:val="20"/>
    </w:rPr>
  </w:style>
  <w:style w:type="character" w:customStyle="1" w:styleId="CommentTextChar">
    <w:name w:val="Comment Text Char"/>
    <w:basedOn w:val="DefaultParagraphFont"/>
    <w:link w:val="CommentText"/>
    <w:uiPriority w:val="99"/>
    <w:rsid w:val="00B267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E0"/>
    <w:rPr>
      <w:b/>
      <w:bCs/>
    </w:rPr>
  </w:style>
  <w:style w:type="character" w:customStyle="1" w:styleId="CommentSubjectChar">
    <w:name w:val="Comment Subject Char"/>
    <w:basedOn w:val="CommentTextChar"/>
    <w:link w:val="CommentSubject"/>
    <w:uiPriority w:val="99"/>
    <w:semiHidden/>
    <w:rsid w:val="00B267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304B2"/>
    <w:rPr>
      <w:color w:val="0000FF" w:themeColor="hyperlink"/>
      <w:u w:val="single"/>
    </w:rPr>
  </w:style>
  <w:style w:type="character" w:customStyle="1" w:styleId="Heading1Char">
    <w:name w:val="Heading 1 Char"/>
    <w:basedOn w:val="DefaultParagraphFont"/>
    <w:link w:val="Heading1"/>
    <w:uiPriority w:val="9"/>
    <w:rsid w:val="00850C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0C2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E2AC9"/>
    <w:rPr>
      <w:i/>
      <w:iCs/>
    </w:rPr>
  </w:style>
  <w:style w:type="paragraph" w:styleId="FootnoteText">
    <w:name w:val="footnote text"/>
    <w:basedOn w:val="Normal"/>
    <w:link w:val="FootnoteTextChar"/>
    <w:uiPriority w:val="99"/>
    <w:rsid w:val="00126139"/>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126139"/>
    <w:rPr>
      <w:rFonts w:ascii="Calibri" w:eastAsia="Calibri" w:hAnsi="Calibri" w:cs="Arial"/>
      <w:sz w:val="20"/>
      <w:szCs w:val="20"/>
      <w:lang w:val="en-GB"/>
    </w:rPr>
  </w:style>
  <w:style w:type="character" w:styleId="FootnoteReference">
    <w:name w:val="footnote reference"/>
    <w:uiPriority w:val="99"/>
    <w:semiHidden/>
    <w:rsid w:val="00126139"/>
    <w:rPr>
      <w:rFonts w:cs="Times New Roman"/>
      <w:vertAlign w:val="superscript"/>
    </w:rPr>
  </w:style>
  <w:style w:type="paragraph" w:styleId="Title">
    <w:name w:val="Title"/>
    <w:basedOn w:val="Normal"/>
    <w:next w:val="Normal"/>
    <w:link w:val="TitleChar"/>
    <w:uiPriority w:val="10"/>
    <w:qFormat/>
    <w:rsid w:val="00693A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AD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6326A"/>
    <w:rPr>
      <w:color w:val="800080" w:themeColor="followedHyperlink"/>
      <w:u w:val="single"/>
    </w:rPr>
  </w:style>
  <w:style w:type="character" w:customStyle="1" w:styleId="Heading3Char">
    <w:name w:val="Heading 3 Char"/>
    <w:basedOn w:val="DefaultParagraphFont"/>
    <w:link w:val="Heading3"/>
    <w:uiPriority w:val="9"/>
    <w:rsid w:val="009E7B4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1E4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14EF5"/>
    <w:pPr>
      <w:spacing w:before="100" w:beforeAutospacing="1" w:after="100" w:afterAutospacing="1"/>
    </w:pPr>
    <w:rPr>
      <w:lang w:val="en-GB" w:eastAsia="en-GB"/>
    </w:rPr>
  </w:style>
  <w:style w:type="character" w:styleId="Strong">
    <w:name w:val="Strong"/>
    <w:basedOn w:val="DefaultParagraphFont"/>
    <w:uiPriority w:val="22"/>
    <w:qFormat/>
    <w:rsid w:val="00C14EF5"/>
    <w:rPr>
      <w:b/>
      <w:bCs/>
    </w:rPr>
  </w:style>
  <w:style w:type="character" w:styleId="HTMLCite">
    <w:name w:val="HTML Cite"/>
    <w:basedOn w:val="DefaultParagraphFont"/>
    <w:uiPriority w:val="99"/>
    <w:semiHidden/>
    <w:unhideWhenUsed/>
    <w:rsid w:val="00C14EF5"/>
    <w:rPr>
      <w:i/>
      <w:iCs/>
    </w:rPr>
  </w:style>
  <w:style w:type="character" w:styleId="UnresolvedMention">
    <w:name w:val="Unresolved Mention"/>
    <w:basedOn w:val="DefaultParagraphFont"/>
    <w:uiPriority w:val="99"/>
    <w:semiHidden/>
    <w:unhideWhenUsed/>
    <w:rsid w:val="009E681B"/>
    <w:rPr>
      <w:color w:val="605E5C"/>
      <w:shd w:val="clear" w:color="auto" w:fill="E1DFDD"/>
    </w:rPr>
  </w:style>
  <w:style w:type="paragraph" w:customStyle="1" w:styleId="pf0">
    <w:name w:val="pf0"/>
    <w:basedOn w:val="Normal"/>
    <w:rsid w:val="002618CF"/>
    <w:pPr>
      <w:spacing w:before="100" w:beforeAutospacing="1" w:after="100" w:afterAutospacing="1"/>
    </w:pPr>
    <w:rPr>
      <w:lang w:val="en-GB" w:eastAsia="en-GB"/>
    </w:rPr>
  </w:style>
  <w:style w:type="character" w:customStyle="1" w:styleId="cf01">
    <w:name w:val="cf01"/>
    <w:basedOn w:val="DefaultParagraphFont"/>
    <w:rsid w:val="002618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230">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456334356">
      <w:bodyDiv w:val="1"/>
      <w:marLeft w:val="0"/>
      <w:marRight w:val="0"/>
      <w:marTop w:val="0"/>
      <w:marBottom w:val="0"/>
      <w:divBdr>
        <w:top w:val="none" w:sz="0" w:space="0" w:color="auto"/>
        <w:left w:val="none" w:sz="0" w:space="0" w:color="auto"/>
        <w:bottom w:val="none" w:sz="0" w:space="0" w:color="auto"/>
        <w:right w:val="none" w:sz="0" w:space="0" w:color="auto"/>
      </w:divBdr>
    </w:div>
    <w:div w:id="496312196">
      <w:bodyDiv w:val="1"/>
      <w:marLeft w:val="0"/>
      <w:marRight w:val="0"/>
      <w:marTop w:val="0"/>
      <w:marBottom w:val="0"/>
      <w:divBdr>
        <w:top w:val="none" w:sz="0" w:space="0" w:color="auto"/>
        <w:left w:val="none" w:sz="0" w:space="0" w:color="auto"/>
        <w:bottom w:val="none" w:sz="0" w:space="0" w:color="auto"/>
        <w:right w:val="none" w:sz="0" w:space="0" w:color="auto"/>
      </w:divBdr>
    </w:div>
    <w:div w:id="497816329">
      <w:bodyDiv w:val="1"/>
      <w:marLeft w:val="0"/>
      <w:marRight w:val="0"/>
      <w:marTop w:val="0"/>
      <w:marBottom w:val="0"/>
      <w:divBdr>
        <w:top w:val="none" w:sz="0" w:space="0" w:color="auto"/>
        <w:left w:val="none" w:sz="0" w:space="0" w:color="auto"/>
        <w:bottom w:val="none" w:sz="0" w:space="0" w:color="auto"/>
        <w:right w:val="none" w:sz="0" w:space="0" w:color="auto"/>
      </w:divBdr>
    </w:div>
    <w:div w:id="569579509">
      <w:bodyDiv w:val="1"/>
      <w:marLeft w:val="0"/>
      <w:marRight w:val="0"/>
      <w:marTop w:val="0"/>
      <w:marBottom w:val="0"/>
      <w:divBdr>
        <w:top w:val="none" w:sz="0" w:space="0" w:color="auto"/>
        <w:left w:val="none" w:sz="0" w:space="0" w:color="auto"/>
        <w:bottom w:val="none" w:sz="0" w:space="0" w:color="auto"/>
        <w:right w:val="none" w:sz="0" w:space="0" w:color="auto"/>
      </w:divBdr>
    </w:div>
    <w:div w:id="586571424">
      <w:bodyDiv w:val="1"/>
      <w:marLeft w:val="0"/>
      <w:marRight w:val="0"/>
      <w:marTop w:val="0"/>
      <w:marBottom w:val="0"/>
      <w:divBdr>
        <w:top w:val="none" w:sz="0" w:space="0" w:color="auto"/>
        <w:left w:val="none" w:sz="0" w:space="0" w:color="auto"/>
        <w:bottom w:val="none" w:sz="0" w:space="0" w:color="auto"/>
        <w:right w:val="none" w:sz="0" w:space="0" w:color="auto"/>
      </w:divBdr>
    </w:div>
    <w:div w:id="643314930">
      <w:bodyDiv w:val="1"/>
      <w:marLeft w:val="0"/>
      <w:marRight w:val="0"/>
      <w:marTop w:val="0"/>
      <w:marBottom w:val="0"/>
      <w:divBdr>
        <w:top w:val="none" w:sz="0" w:space="0" w:color="auto"/>
        <w:left w:val="none" w:sz="0" w:space="0" w:color="auto"/>
        <w:bottom w:val="none" w:sz="0" w:space="0" w:color="auto"/>
        <w:right w:val="none" w:sz="0" w:space="0" w:color="auto"/>
      </w:divBdr>
      <w:divsChild>
        <w:div w:id="894002197">
          <w:marLeft w:val="0"/>
          <w:marRight w:val="0"/>
          <w:marTop w:val="0"/>
          <w:marBottom w:val="0"/>
          <w:divBdr>
            <w:top w:val="none" w:sz="0" w:space="0" w:color="auto"/>
            <w:left w:val="none" w:sz="0" w:space="0" w:color="auto"/>
            <w:bottom w:val="none" w:sz="0" w:space="0" w:color="auto"/>
            <w:right w:val="none" w:sz="0" w:space="0" w:color="auto"/>
          </w:divBdr>
          <w:divsChild>
            <w:div w:id="2116292417">
              <w:marLeft w:val="0"/>
              <w:marRight w:val="0"/>
              <w:marTop w:val="0"/>
              <w:marBottom w:val="0"/>
              <w:divBdr>
                <w:top w:val="none" w:sz="0" w:space="0" w:color="auto"/>
                <w:left w:val="none" w:sz="0" w:space="0" w:color="auto"/>
                <w:bottom w:val="none" w:sz="0" w:space="0" w:color="auto"/>
                <w:right w:val="none" w:sz="0" w:space="0" w:color="auto"/>
              </w:divBdr>
              <w:divsChild>
                <w:div w:id="1905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2543">
          <w:marLeft w:val="0"/>
          <w:marRight w:val="0"/>
          <w:marTop w:val="0"/>
          <w:marBottom w:val="0"/>
          <w:divBdr>
            <w:top w:val="dashed" w:sz="6" w:space="15" w:color="E0E0E0"/>
            <w:left w:val="none" w:sz="0" w:space="0" w:color="auto"/>
            <w:bottom w:val="none" w:sz="0" w:space="0" w:color="auto"/>
            <w:right w:val="none" w:sz="0" w:space="0" w:color="auto"/>
          </w:divBdr>
          <w:divsChild>
            <w:div w:id="1626307775">
              <w:marLeft w:val="0"/>
              <w:marRight w:val="0"/>
              <w:marTop w:val="0"/>
              <w:marBottom w:val="0"/>
              <w:divBdr>
                <w:top w:val="none" w:sz="0" w:space="0" w:color="auto"/>
                <w:left w:val="none" w:sz="0" w:space="0" w:color="auto"/>
                <w:bottom w:val="none" w:sz="0" w:space="0" w:color="auto"/>
                <w:right w:val="none" w:sz="0" w:space="0" w:color="auto"/>
              </w:divBdr>
              <w:divsChild>
                <w:div w:id="14015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112">
      <w:bodyDiv w:val="1"/>
      <w:marLeft w:val="0"/>
      <w:marRight w:val="0"/>
      <w:marTop w:val="0"/>
      <w:marBottom w:val="0"/>
      <w:divBdr>
        <w:top w:val="none" w:sz="0" w:space="0" w:color="auto"/>
        <w:left w:val="none" w:sz="0" w:space="0" w:color="auto"/>
        <w:bottom w:val="none" w:sz="0" w:space="0" w:color="auto"/>
        <w:right w:val="none" w:sz="0" w:space="0" w:color="auto"/>
      </w:divBdr>
    </w:div>
    <w:div w:id="882641143">
      <w:bodyDiv w:val="1"/>
      <w:marLeft w:val="0"/>
      <w:marRight w:val="0"/>
      <w:marTop w:val="0"/>
      <w:marBottom w:val="0"/>
      <w:divBdr>
        <w:top w:val="none" w:sz="0" w:space="0" w:color="auto"/>
        <w:left w:val="none" w:sz="0" w:space="0" w:color="auto"/>
        <w:bottom w:val="none" w:sz="0" w:space="0" w:color="auto"/>
        <w:right w:val="none" w:sz="0" w:space="0" w:color="auto"/>
      </w:divBdr>
    </w:div>
    <w:div w:id="971982494">
      <w:bodyDiv w:val="1"/>
      <w:marLeft w:val="0"/>
      <w:marRight w:val="0"/>
      <w:marTop w:val="0"/>
      <w:marBottom w:val="0"/>
      <w:divBdr>
        <w:top w:val="none" w:sz="0" w:space="0" w:color="auto"/>
        <w:left w:val="none" w:sz="0" w:space="0" w:color="auto"/>
        <w:bottom w:val="none" w:sz="0" w:space="0" w:color="auto"/>
        <w:right w:val="none" w:sz="0" w:space="0" w:color="auto"/>
      </w:divBdr>
    </w:div>
    <w:div w:id="1086070625">
      <w:bodyDiv w:val="1"/>
      <w:marLeft w:val="0"/>
      <w:marRight w:val="0"/>
      <w:marTop w:val="0"/>
      <w:marBottom w:val="0"/>
      <w:divBdr>
        <w:top w:val="none" w:sz="0" w:space="0" w:color="auto"/>
        <w:left w:val="none" w:sz="0" w:space="0" w:color="auto"/>
        <w:bottom w:val="none" w:sz="0" w:space="0" w:color="auto"/>
        <w:right w:val="none" w:sz="0" w:space="0" w:color="auto"/>
      </w:divBdr>
    </w:div>
    <w:div w:id="1307051042">
      <w:bodyDiv w:val="1"/>
      <w:marLeft w:val="0"/>
      <w:marRight w:val="0"/>
      <w:marTop w:val="0"/>
      <w:marBottom w:val="0"/>
      <w:divBdr>
        <w:top w:val="none" w:sz="0" w:space="0" w:color="auto"/>
        <w:left w:val="none" w:sz="0" w:space="0" w:color="auto"/>
        <w:bottom w:val="none" w:sz="0" w:space="0" w:color="auto"/>
        <w:right w:val="none" w:sz="0" w:space="0" w:color="auto"/>
      </w:divBdr>
    </w:div>
    <w:div w:id="1478763969">
      <w:bodyDiv w:val="1"/>
      <w:marLeft w:val="0"/>
      <w:marRight w:val="0"/>
      <w:marTop w:val="0"/>
      <w:marBottom w:val="0"/>
      <w:divBdr>
        <w:top w:val="none" w:sz="0" w:space="0" w:color="auto"/>
        <w:left w:val="none" w:sz="0" w:space="0" w:color="auto"/>
        <w:bottom w:val="none" w:sz="0" w:space="0" w:color="auto"/>
        <w:right w:val="none" w:sz="0" w:space="0" w:color="auto"/>
      </w:divBdr>
    </w:div>
    <w:div w:id="1665431883">
      <w:bodyDiv w:val="1"/>
      <w:marLeft w:val="0"/>
      <w:marRight w:val="0"/>
      <w:marTop w:val="0"/>
      <w:marBottom w:val="0"/>
      <w:divBdr>
        <w:top w:val="none" w:sz="0" w:space="0" w:color="auto"/>
        <w:left w:val="none" w:sz="0" w:space="0" w:color="auto"/>
        <w:bottom w:val="none" w:sz="0" w:space="0" w:color="auto"/>
        <w:right w:val="none" w:sz="0" w:space="0" w:color="auto"/>
      </w:divBdr>
    </w:div>
    <w:div w:id="1815445419">
      <w:bodyDiv w:val="1"/>
      <w:marLeft w:val="0"/>
      <w:marRight w:val="0"/>
      <w:marTop w:val="0"/>
      <w:marBottom w:val="0"/>
      <w:divBdr>
        <w:top w:val="none" w:sz="0" w:space="0" w:color="auto"/>
        <w:left w:val="none" w:sz="0" w:space="0" w:color="auto"/>
        <w:bottom w:val="none" w:sz="0" w:space="0" w:color="auto"/>
        <w:right w:val="none" w:sz="0" w:space="0" w:color="auto"/>
      </w:divBdr>
    </w:div>
    <w:div w:id="1906841752">
      <w:bodyDiv w:val="1"/>
      <w:marLeft w:val="0"/>
      <w:marRight w:val="0"/>
      <w:marTop w:val="0"/>
      <w:marBottom w:val="0"/>
      <w:divBdr>
        <w:top w:val="none" w:sz="0" w:space="0" w:color="auto"/>
        <w:left w:val="none" w:sz="0" w:space="0" w:color="auto"/>
        <w:bottom w:val="none" w:sz="0" w:space="0" w:color="auto"/>
        <w:right w:val="none" w:sz="0" w:space="0" w:color="auto"/>
      </w:divBdr>
    </w:div>
    <w:div w:id="1910379079">
      <w:bodyDiv w:val="1"/>
      <w:marLeft w:val="0"/>
      <w:marRight w:val="0"/>
      <w:marTop w:val="0"/>
      <w:marBottom w:val="0"/>
      <w:divBdr>
        <w:top w:val="none" w:sz="0" w:space="0" w:color="auto"/>
        <w:left w:val="none" w:sz="0" w:space="0" w:color="auto"/>
        <w:bottom w:val="none" w:sz="0" w:space="0" w:color="auto"/>
        <w:right w:val="none" w:sz="0" w:space="0" w:color="auto"/>
      </w:divBdr>
    </w:div>
    <w:div w:id="1938057479">
      <w:bodyDiv w:val="1"/>
      <w:marLeft w:val="0"/>
      <w:marRight w:val="0"/>
      <w:marTop w:val="0"/>
      <w:marBottom w:val="0"/>
      <w:divBdr>
        <w:top w:val="none" w:sz="0" w:space="0" w:color="auto"/>
        <w:left w:val="none" w:sz="0" w:space="0" w:color="auto"/>
        <w:bottom w:val="none" w:sz="0" w:space="0" w:color="auto"/>
        <w:right w:val="none" w:sz="0" w:space="0" w:color="auto"/>
      </w:divBdr>
    </w:div>
    <w:div w:id="2072775088">
      <w:bodyDiv w:val="1"/>
      <w:marLeft w:val="0"/>
      <w:marRight w:val="0"/>
      <w:marTop w:val="0"/>
      <w:marBottom w:val="0"/>
      <w:divBdr>
        <w:top w:val="none" w:sz="0" w:space="0" w:color="auto"/>
        <w:left w:val="none" w:sz="0" w:space="0" w:color="auto"/>
        <w:bottom w:val="none" w:sz="0" w:space="0" w:color="auto"/>
        <w:right w:val="none" w:sz="0" w:space="0" w:color="auto"/>
      </w:divBdr>
    </w:div>
    <w:div w:id="21399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4759/core_resilientsustainablesystemsforhealth_infonote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htmlpreview.github.io%2F%3Fhttps%3A%2F%2Fgithub.com%2Fhkoenker%2FQuantification%2Fblob%2Fmaster%2Foutput%2FScenario_2_and_3_Quantifiers_Table_Full_Version.html&amp;data=05%7C01%7Cmarcy.erskine%40ifrc.org%7C8b1a4c9662ba4fded1be08dab5be96a4%7Ca2b53be5734e4e6cab0dd184f60fd917%7C0%7C0%7C638022127419403366%7CUnknown%7CTWFpbGZsb3d8eyJWIjoiMC4wLjAwMDAiLCJQIjoiV2luMzIiLCJBTiI6Ik1haWwiLCJXVCI6Mn0%3D%7C3000%7C%7C%7C&amp;sdata=UvqxwM02aMpv%2BARAOd17gB1LXEBAo20iuogXn6boLj8%3D&amp;reserved=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lobalfund.org/en/sourcing/llins/" TargetMode="External"/><Relationship Id="rId1" Type="http://schemas.openxmlformats.org/officeDocument/2006/relationships/hyperlink" Target="http://www.theglobalfund.org/en/sourcing/a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A6E1-C62D-46B2-9B33-1696E420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5372</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WHO USER</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Olumese;Renshaw Melanie;Fall Soce</dc:creator>
  <cp:lastModifiedBy>Melanie Renshaw</cp:lastModifiedBy>
  <cp:revision>6</cp:revision>
  <dcterms:created xsi:type="dcterms:W3CDTF">2022-11-06T16:22:00Z</dcterms:created>
  <dcterms:modified xsi:type="dcterms:W3CDTF">2022-12-11T06:23:00Z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